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园艺学院推荐优秀应届本科毕业生免试攻读研究生</w:t>
      </w:r>
    </w:p>
    <w:p>
      <w:pPr>
        <w:adjustRightInd w:val="0"/>
        <w:snapToGrid w:val="0"/>
        <w:spacing w:line="300" w:lineRule="auto"/>
        <w:jc w:val="center"/>
        <w:rPr>
          <w:rFonts w:hint="default" w:ascii="方正小标宋简体" w:hAnsi="方正小标宋简体" w:eastAsia="方正小标宋简体" w:cs="方正小标宋简体"/>
          <w:b/>
          <w:bCs/>
          <w:sz w:val="28"/>
          <w:szCs w:val="28"/>
          <w:lang w:val="en-US" w:eastAsia="zh-CN"/>
        </w:rPr>
      </w:pPr>
      <w:r>
        <w:rPr>
          <w:rFonts w:hint="eastAsia" w:ascii="方正小标宋简体" w:hAnsi="方正小标宋简体" w:eastAsia="方正小标宋简体" w:cs="方正小标宋简体"/>
          <w:b/>
          <w:bCs/>
          <w:sz w:val="36"/>
          <w:szCs w:val="36"/>
          <w:lang w:val="en-US" w:eastAsia="zh-CN"/>
        </w:rPr>
        <w:t>工作</w:t>
      </w:r>
      <w:r>
        <w:rPr>
          <w:rFonts w:hint="eastAsia" w:ascii="方正小标宋简体" w:hAnsi="方正小标宋简体" w:eastAsia="方正小标宋简体" w:cs="方正小标宋简体"/>
          <w:b/>
          <w:bCs/>
          <w:sz w:val="36"/>
          <w:szCs w:val="36"/>
        </w:rPr>
        <w:t>细则</w:t>
      </w:r>
      <w:r>
        <w:rPr>
          <w:rFonts w:hint="eastAsia" w:ascii="方正小标宋简体" w:hAnsi="方正小标宋简体" w:eastAsia="方正小标宋简体" w:cs="方正小标宋简体"/>
          <w:b/>
          <w:bCs/>
          <w:sz w:val="36"/>
          <w:szCs w:val="36"/>
          <w:lang w:eastAsia="zh-CN"/>
        </w:rPr>
        <w:t>（</w:t>
      </w:r>
      <w:r>
        <w:rPr>
          <w:rFonts w:hint="eastAsia" w:ascii="方正小标宋简体" w:hAnsi="方正小标宋简体" w:eastAsia="方正小标宋简体" w:cs="方正小标宋简体"/>
          <w:b/>
          <w:bCs/>
          <w:sz w:val="36"/>
          <w:szCs w:val="36"/>
          <w:lang w:val="en-US" w:eastAsia="zh-CN"/>
        </w:rPr>
        <w:t>2023年</w:t>
      </w:r>
      <w:r>
        <w:rPr>
          <w:rFonts w:hint="eastAsia" w:ascii="方正小标宋简体" w:hAnsi="方正小标宋简体" w:eastAsia="方正小标宋简体" w:cs="方正小标宋简体"/>
          <w:b/>
          <w:bCs/>
          <w:sz w:val="36"/>
          <w:szCs w:val="36"/>
          <w:lang w:eastAsia="zh-CN"/>
        </w:rPr>
        <w:t>）</w:t>
      </w:r>
      <w:r>
        <w:rPr>
          <w:rFonts w:hint="eastAsia" w:ascii="方正小标宋简体" w:hAnsi="方正小标宋简体" w:eastAsia="方正小标宋简体" w:cs="方正小标宋简体"/>
          <w:b/>
          <w:bCs/>
          <w:sz w:val="36"/>
          <w:szCs w:val="36"/>
          <w:lang w:val="en-US" w:eastAsia="zh-CN"/>
        </w:rPr>
        <w:t>修订稿</w:t>
      </w:r>
    </w:p>
    <w:p>
      <w:pPr>
        <w:adjustRightInd w:val="0"/>
        <w:snapToGrid w:val="0"/>
        <w:spacing w:line="360" w:lineRule="auto"/>
        <w:ind w:firstLine="560" w:firstLineChars="200"/>
        <w:rPr>
          <w:rFonts w:ascii="仿宋" w:hAnsi="仿宋" w:eastAsia="仿宋" w:cs="仿宋_GB2312"/>
          <w:snapToGrid w:val="0"/>
          <w:kern w:val="0"/>
          <w:sz w:val="28"/>
          <w:szCs w:val="28"/>
        </w:rPr>
      </w:pPr>
      <w:r>
        <w:rPr>
          <w:rFonts w:hint="eastAsia" w:ascii="仿宋" w:hAnsi="仿宋" w:eastAsia="仿宋" w:cs="仿宋_GB2312"/>
          <w:sz w:val="28"/>
          <w:szCs w:val="28"/>
        </w:rPr>
        <w:t>根据《</w:t>
      </w:r>
      <w:r>
        <w:rPr>
          <w:rFonts w:hint="eastAsia" w:ascii="仿宋" w:hAnsi="仿宋" w:eastAsia="仿宋" w:cs="仿宋_GB2312"/>
          <w:color w:val="auto"/>
          <w:sz w:val="28"/>
          <w:szCs w:val="28"/>
        </w:rPr>
        <w:t>华南农业大学推荐优秀应届本科毕业生免试攻读研究生实施办法》（华南农办</w:t>
      </w:r>
      <w:r>
        <w:rPr>
          <w:rFonts w:hint="eastAsia" w:ascii="仿宋" w:hAnsi="仿宋" w:eastAsia="仿宋" w:cs="宋体"/>
          <w:color w:val="auto"/>
          <w:kern w:val="0"/>
          <w:sz w:val="24"/>
        </w:rPr>
        <w:t>〔202</w:t>
      </w:r>
      <w:r>
        <w:rPr>
          <w:rFonts w:hint="eastAsia" w:ascii="仿宋" w:hAnsi="仿宋" w:eastAsia="仿宋" w:cs="宋体"/>
          <w:color w:val="auto"/>
          <w:kern w:val="0"/>
          <w:sz w:val="24"/>
          <w:lang w:val="en-US" w:eastAsia="zh-CN"/>
        </w:rPr>
        <w:t>3</w:t>
      </w:r>
      <w:r>
        <w:rPr>
          <w:rFonts w:hint="eastAsia" w:ascii="仿宋" w:hAnsi="仿宋" w:eastAsia="仿宋" w:cs="宋体"/>
          <w:color w:val="auto"/>
          <w:kern w:val="0"/>
          <w:sz w:val="24"/>
        </w:rPr>
        <w:t>〕</w:t>
      </w:r>
      <w:r>
        <w:rPr>
          <w:rFonts w:hint="eastAsia" w:ascii="仿宋" w:hAnsi="仿宋" w:eastAsia="仿宋" w:cs="宋体"/>
          <w:color w:val="auto"/>
          <w:kern w:val="0"/>
          <w:sz w:val="24"/>
          <w:lang w:val="en-US" w:eastAsia="zh-CN"/>
        </w:rPr>
        <w:t>38</w:t>
      </w:r>
      <w:r>
        <w:rPr>
          <w:rFonts w:hint="eastAsia" w:ascii="仿宋" w:hAnsi="仿宋" w:eastAsia="仿宋" w:cs="仿宋_GB2312"/>
          <w:color w:val="auto"/>
          <w:sz w:val="28"/>
          <w:szCs w:val="28"/>
        </w:rPr>
        <w:t>号）</w:t>
      </w:r>
      <w:r>
        <w:rPr>
          <w:rFonts w:hint="eastAsia" w:ascii="仿宋" w:hAnsi="仿宋" w:eastAsia="仿宋" w:cs="仿宋_GB2312"/>
          <w:color w:val="auto"/>
          <w:sz w:val="28"/>
          <w:szCs w:val="28"/>
          <w:lang w:val="en-US" w:eastAsia="zh-CN"/>
        </w:rPr>
        <w:t>的要求</w:t>
      </w:r>
      <w:r>
        <w:rPr>
          <w:rFonts w:hint="eastAsia" w:ascii="仿宋" w:hAnsi="仿宋" w:eastAsia="仿宋" w:cs="仿宋_GB2312"/>
          <w:sz w:val="28"/>
          <w:szCs w:val="28"/>
        </w:rPr>
        <w:t>，为规范推荐优秀应届本科毕业生免试攻读研究生的工作（以下简称推免），结合我院实际，</w:t>
      </w:r>
      <w:r>
        <w:rPr>
          <w:rFonts w:hint="eastAsia" w:ascii="仿宋" w:hAnsi="仿宋" w:eastAsia="仿宋" w:cs="仿宋_GB2312"/>
          <w:snapToGrid w:val="0"/>
          <w:kern w:val="0"/>
          <w:sz w:val="28"/>
          <w:szCs w:val="28"/>
        </w:rPr>
        <w:t>特制定本</w:t>
      </w:r>
      <w:r>
        <w:rPr>
          <w:rFonts w:hint="eastAsia" w:ascii="仿宋" w:hAnsi="仿宋" w:eastAsia="仿宋" w:cs="仿宋_GB2312"/>
          <w:snapToGrid w:val="0"/>
          <w:kern w:val="0"/>
          <w:sz w:val="28"/>
          <w:szCs w:val="28"/>
          <w:lang w:val="en-US" w:eastAsia="zh-CN"/>
        </w:rPr>
        <w:t>工作</w:t>
      </w:r>
      <w:r>
        <w:rPr>
          <w:rFonts w:hint="eastAsia" w:ascii="仿宋" w:hAnsi="仿宋" w:eastAsia="仿宋" w:cs="仿宋_GB2312"/>
          <w:snapToGrid w:val="0"/>
          <w:kern w:val="0"/>
          <w:sz w:val="28"/>
          <w:szCs w:val="28"/>
        </w:rPr>
        <w:t>细则。</w:t>
      </w:r>
    </w:p>
    <w:p>
      <w:pPr>
        <w:adjustRightInd w:val="0"/>
        <w:snapToGrid w:val="0"/>
        <w:spacing w:line="360" w:lineRule="auto"/>
        <w:ind w:firstLine="562" w:firstLineChars="200"/>
        <w:rPr>
          <w:rFonts w:ascii="仿宋" w:hAnsi="仿宋" w:eastAsia="仿宋" w:cs="黑体"/>
          <w:b/>
          <w:bCs/>
          <w:sz w:val="28"/>
          <w:szCs w:val="28"/>
        </w:rPr>
      </w:pPr>
      <w:r>
        <w:rPr>
          <w:rFonts w:hint="eastAsia" w:ascii="仿宋" w:hAnsi="仿宋" w:eastAsia="仿宋" w:cs="黑体"/>
          <w:b/>
          <w:bCs/>
          <w:sz w:val="28"/>
          <w:szCs w:val="28"/>
        </w:rPr>
        <w:t>一、组织实施</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学院成立推免生遴选工作小组，负责具体实施全院推免工作。小组组长由学院主要负责人担任，成员包括学院分管本科教学工作、学生工作的负责人、学院学术分委员会委员代表、教务员和辅导员。小组成员名单及联系方式于每年推免工作开始前报本科生院备案。</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学院成立专家审核小组（</w:t>
      </w:r>
      <w:r>
        <w:rPr>
          <w:rFonts w:hint="eastAsia" w:ascii="仿宋" w:hAnsi="仿宋" w:eastAsia="仿宋" w:cs="仿宋_GB2312"/>
          <w:sz w:val="28"/>
          <w:szCs w:val="28"/>
          <w:lang w:eastAsia="zh-Hans"/>
        </w:rPr>
        <w:t>在</w:t>
      </w:r>
      <w:r>
        <w:rPr>
          <w:rFonts w:hint="eastAsia" w:ascii="仿宋" w:hAnsi="仿宋" w:eastAsia="仿宋" w:cs="仿宋_GB2312"/>
          <w:sz w:val="28"/>
          <w:szCs w:val="28"/>
        </w:rPr>
        <w:t>学院学术分委员会委员</w:t>
      </w:r>
      <w:r>
        <w:rPr>
          <w:rFonts w:hint="eastAsia" w:ascii="仿宋" w:hAnsi="仿宋" w:eastAsia="仿宋" w:cs="仿宋_GB2312"/>
          <w:sz w:val="28"/>
          <w:szCs w:val="28"/>
          <w:lang w:eastAsia="zh-Hans"/>
        </w:rPr>
        <w:t>中抽取</w:t>
      </w:r>
      <w:r>
        <w:rPr>
          <w:rFonts w:hint="eastAsia" w:ascii="仿宋" w:hAnsi="仿宋" w:eastAsia="仿宋" w:cs="仿宋_GB2312"/>
          <w:sz w:val="28"/>
          <w:szCs w:val="28"/>
        </w:rPr>
        <w:t>，一般不少于5人）,负责对学生科研创新成果、论文、竞赛获奖奖项及内容等方面进行审核鉴定。。专家审核小组及其每位成员均须给出明确审核鉴定意见并签字存档。答辩全程录音录像，答辩结果公开公正；学院推免生遴选工作小组商定学院特殊学术专长推免生名单。</w:t>
      </w:r>
    </w:p>
    <w:p>
      <w:pPr>
        <w:adjustRightInd w:val="0"/>
        <w:snapToGrid w:val="0"/>
        <w:spacing w:line="360" w:lineRule="auto"/>
        <w:ind w:firstLine="562" w:firstLineChars="200"/>
        <w:rPr>
          <w:rFonts w:ascii="仿宋" w:hAnsi="仿宋" w:eastAsia="仿宋" w:cs="黑体"/>
          <w:b/>
          <w:bCs/>
          <w:sz w:val="28"/>
          <w:szCs w:val="28"/>
        </w:rPr>
      </w:pPr>
      <w:r>
        <w:rPr>
          <w:rFonts w:hint="eastAsia" w:ascii="仿宋" w:hAnsi="仿宋" w:eastAsia="仿宋" w:cs="黑体"/>
          <w:b/>
          <w:bCs/>
          <w:sz w:val="28"/>
          <w:szCs w:val="28"/>
        </w:rPr>
        <w:t>二、推免条件：</w:t>
      </w:r>
    </w:p>
    <w:p>
      <w:pPr>
        <w:widowControl/>
        <w:adjustRightInd w:val="0"/>
        <w:snapToGrid w:val="0"/>
        <w:spacing w:line="360" w:lineRule="auto"/>
        <w:ind w:firstLine="560" w:firstLineChars="200"/>
        <w:rPr>
          <w:rFonts w:hint="default" w:ascii="仿宋" w:hAnsi="仿宋" w:eastAsia="仿宋" w:cs="仿宋_GB2312"/>
          <w:color w:val="auto"/>
          <w:kern w:val="0"/>
          <w:sz w:val="28"/>
          <w:szCs w:val="28"/>
          <w:lang w:val="en-US" w:eastAsia="zh-CN"/>
        </w:rPr>
      </w:pPr>
      <w:r>
        <w:rPr>
          <w:rFonts w:hint="eastAsia" w:ascii="仿宋" w:hAnsi="仿宋" w:eastAsia="仿宋" w:cs="仿宋_GB2312"/>
          <w:color w:val="000000"/>
          <w:kern w:val="0"/>
          <w:sz w:val="28"/>
          <w:szCs w:val="28"/>
        </w:rPr>
        <w:t>按照</w:t>
      </w:r>
      <w:r>
        <w:rPr>
          <w:rFonts w:hint="eastAsia" w:ascii="仿宋" w:hAnsi="仿宋" w:eastAsia="仿宋" w:cs="仿宋_GB2312"/>
          <w:color w:val="auto"/>
          <w:kern w:val="0"/>
          <w:sz w:val="28"/>
          <w:szCs w:val="28"/>
        </w:rPr>
        <w:t>《华南农业大学推荐优秀应届本科毕业生免试攻读研究生实施办法》</w:t>
      </w:r>
      <w:r>
        <w:rPr>
          <w:rFonts w:hint="eastAsia" w:ascii="仿宋" w:hAnsi="仿宋" w:eastAsia="仿宋" w:cs="仿宋_GB2312"/>
          <w:color w:val="auto"/>
          <w:sz w:val="28"/>
          <w:szCs w:val="28"/>
        </w:rPr>
        <w:t>（华南农办</w:t>
      </w:r>
      <w:r>
        <w:rPr>
          <w:rFonts w:hint="eastAsia" w:ascii="仿宋" w:hAnsi="仿宋" w:eastAsia="仿宋" w:cs="宋体"/>
          <w:color w:val="auto"/>
          <w:kern w:val="0"/>
          <w:sz w:val="24"/>
        </w:rPr>
        <w:t>〔202</w:t>
      </w:r>
      <w:r>
        <w:rPr>
          <w:rFonts w:hint="eastAsia" w:ascii="仿宋" w:hAnsi="仿宋" w:eastAsia="仿宋" w:cs="宋体"/>
          <w:color w:val="auto"/>
          <w:kern w:val="0"/>
          <w:sz w:val="24"/>
          <w:lang w:val="en-US" w:eastAsia="zh-CN"/>
        </w:rPr>
        <w:t>3</w:t>
      </w:r>
      <w:r>
        <w:rPr>
          <w:rFonts w:hint="eastAsia" w:ascii="仿宋" w:hAnsi="仿宋" w:eastAsia="仿宋" w:cs="宋体"/>
          <w:color w:val="auto"/>
          <w:kern w:val="0"/>
          <w:sz w:val="24"/>
        </w:rPr>
        <w:t>〕</w:t>
      </w:r>
      <w:r>
        <w:rPr>
          <w:rFonts w:hint="eastAsia" w:ascii="仿宋" w:hAnsi="仿宋" w:eastAsia="仿宋" w:cs="宋体"/>
          <w:color w:val="auto"/>
          <w:kern w:val="0"/>
          <w:sz w:val="24"/>
          <w:lang w:val="en-US" w:eastAsia="zh-CN"/>
        </w:rPr>
        <w:t>38</w:t>
      </w:r>
      <w:r>
        <w:rPr>
          <w:rFonts w:hint="eastAsia" w:ascii="仿宋" w:hAnsi="仿宋" w:eastAsia="仿宋" w:cs="仿宋_GB2312"/>
          <w:color w:val="auto"/>
          <w:sz w:val="28"/>
          <w:szCs w:val="28"/>
        </w:rPr>
        <w:t>号）第</w:t>
      </w:r>
      <w:r>
        <w:rPr>
          <w:rFonts w:hint="eastAsia" w:ascii="仿宋" w:hAnsi="仿宋" w:eastAsia="仿宋" w:cs="仿宋_GB2312"/>
          <w:color w:val="auto"/>
          <w:sz w:val="28"/>
          <w:szCs w:val="28"/>
          <w:lang w:val="en-US" w:eastAsia="zh-CN"/>
        </w:rPr>
        <w:t>四</w:t>
      </w:r>
      <w:r>
        <w:rPr>
          <w:rFonts w:hint="eastAsia" w:ascii="仿宋" w:hAnsi="仿宋" w:eastAsia="仿宋" w:cs="仿宋_GB2312"/>
          <w:color w:val="auto"/>
          <w:sz w:val="28"/>
          <w:szCs w:val="28"/>
        </w:rPr>
        <w:t>章第</w:t>
      </w:r>
      <w:r>
        <w:rPr>
          <w:rFonts w:hint="eastAsia" w:ascii="仿宋" w:hAnsi="仿宋" w:eastAsia="仿宋" w:cs="仿宋_GB2312"/>
          <w:color w:val="auto"/>
          <w:sz w:val="28"/>
          <w:szCs w:val="28"/>
          <w:lang w:val="en-US" w:eastAsia="zh-CN"/>
        </w:rPr>
        <w:t>十、十一</w:t>
      </w:r>
      <w:r>
        <w:rPr>
          <w:rFonts w:hint="eastAsia" w:ascii="仿宋" w:hAnsi="仿宋" w:eastAsia="仿宋" w:cs="仿宋_GB2312"/>
          <w:color w:val="auto"/>
          <w:sz w:val="28"/>
          <w:szCs w:val="28"/>
        </w:rPr>
        <w:t>条所列条件执行。</w:t>
      </w:r>
      <w:r>
        <w:rPr>
          <w:rFonts w:hint="eastAsia" w:ascii="仿宋" w:hAnsi="仿宋" w:eastAsia="仿宋" w:cs="仿宋_GB2312"/>
          <w:color w:val="auto"/>
          <w:sz w:val="28"/>
          <w:szCs w:val="28"/>
          <w:lang w:val="en-US" w:eastAsia="zh-CN"/>
        </w:rPr>
        <w:t>特殊学术专长学生认定条件按照</w:t>
      </w:r>
      <w:r>
        <w:rPr>
          <w:rFonts w:hint="eastAsia" w:ascii="仿宋" w:hAnsi="仿宋" w:eastAsia="仿宋" w:cs="仿宋_GB2312"/>
          <w:color w:val="auto"/>
          <w:kern w:val="0"/>
          <w:sz w:val="28"/>
          <w:szCs w:val="28"/>
        </w:rPr>
        <w:t>《华南农业大学推荐优秀应届本科毕业生免试攻读研究生实施办法》</w:t>
      </w:r>
      <w:r>
        <w:rPr>
          <w:rFonts w:hint="eastAsia" w:ascii="仿宋" w:hAnsi="仿宋" w:eastAsia="仿宋" w:cs="仿宋_GB2312"/>
          <w:color w:val="auto"/>
          <w:sz w:val="28"/>
          <w:szCs w:val="28"/>
        </w:rPr>
        <w:t>（华南农办</w:t>
      </w:r>
      <w:r>
        <w:rPr>
          <w:rFonts w:hint="eastAsia" w:ascii="仿宋" w:hAnsi="仿宋" w:eastAsia="仿宋" w:cs="宋体"/>
          <w:color w:val="auto"/>
          <w:kern w:val="0"/>
          <w:sz w:val="24"/>
        </w:rPr>
        <w:t>〔202</w:t>
      </w:r>
      <w:r>
        <w:rPr>
          <w:rFonts w:hint="eastAsia" w:ascii="仿宋" w:hAnsi="仿宋" w:eastAsia="仿宋" w:cs="宋体"/>
          <w:color w:val="auto"/>
          <w:kern w:val="0"/>
          <w:sz w:val="24"/>
          <w:lang w:val="en-US" w:eastAsia="zh-CN"/>
        </w:rPr>
        <w:t>3</w:t>
      </w:r>
      <w:r>
        <w:rPr>
          <w:rFonts w:hint="eastAsia" w:ascii="仿宋" w:hAnsi="仿宋" w:eastAsia="仿宋" w:cs="宋体"/>
          <w:color w:val="auto"/>
          <w:kern w:val="0"/>
          <w:sz w:val="24"/>
        </w:rPr>
        <w:t>〕</w:t>
      </w:r>
      <w:r>
        <w:rPr>
          <w:rFonts w:hint="eastAsia" w:ascii="仿宋" w:hAnsi="仿宋" w:eastAsia="仿宋" w:cs="宋体"/>
          <w:color w:val="auto"/>
          <w:kern w:val="0"/>
          <w:sz w:val="24"/>
          <w:lang w:val="en-US" w:eastAsia="zh-CN"/>
        </w:rPr>
        <w:t>38</w:t>
      </w:r>
      <w:r>
        <w:rPr>
          <w:rFonts w:hint="eastAsia" w:ascii="仿宋" w:hAnsi="仿宋" w:eastAsia="仿宋" w:cs="仿宋_GB2312"/>
          <w:color w:val="auto"/>
          <w:sz w:val="28"/>
          <w:szCs w:val="28"/>
        </w:rPr>
        <w:t>号）第</w:t>
      </w:r>
      <w:r>
        <w:rPr>
          <w:rFonts w:hint="eastAsia" w:ascii="仿宋" w:hAnsi="仿宋" w:eastAsia="仿宋" w:cs="仿宋_GB2312"/>
          <w:color w:val="auto"/>
          <w:sz w:val="28"/>
          <w:szCs w:val="28"/>
          <w:lang w:val="en-US" w:eastAsia="zh-CN"/>
        </w:rPr>
        <w:t>四</w:t>
      </w:r>
      <w:r>
        <w:rPr>
          <w:rFonts w:hint="eastAsia" w:ascii="仿宋" w:hAnsi="仿宋" w:eastAsia="仿宋" w:cs="仿宋_GB2312"/>
          <w:color w:val="auto"/>
          <w:sz w:val="28"/>
          <w:szCs w:val="28"/>
        </w:rPr>
        <w:t>章</w:t>
      </w:r>
      <w:r>
        <w:rPr>
          <w:rFonts w:hint="eastAsia" w:ascii="仿宋" w:hAnsi="仿宋" w:eastAsia="仿宋" w:cs="仿宋_GB2312"/>
          <w:color w:val="auto"/>
          <w:sz w:val="28"/>
          <w:szCs w:val="28"/>
          <w:lang w:val="en-US" w:eastAsia="zh-CN"/>
        </w:rPr>
        <w:t>第十二条所列条件执行。</w:t>
      </w:r>
    </w:p>
    <w:p>
      <w:pPr>
        <w:adjustRightInd w:val="0"/>
        <w:snapToGrid w:val="0"/>
        <w:spacing w:line="360" w:lineRule="auto"/>
        <w:ind w:firstLine="562" w:firstLineChars="200"/>
        <w:rPr>
          <w:rFonts w:ascii="仿宋" w:hAnsi="仿宋" w:eastAsia="仿宋" w:cs="黑体"/>
          <w:b/>
          <w:bCs/>
          <w:sz w:val="28"/>
          <w:szCs w:val="28"/>
        </w:rPr>
      </w:pPr>
      <w:r>
        <w:rPr>
          <w:rFonts w:hint="eastAsia" w:ascii="仿宋" w:hAnsi="仿宋" w:eastAsia="仿宋" w:cs="黑体"/>
          <w:b/>
          <w:bCs/>
          <w:sz w:val="28"/>
          <w:szCs w:val="28"/>
        </w:rPr>
        <w:t>三、推荐办法</w:t>
      </w:r>
    </w:p>
    <w:p>
      <w:pPr>
        <w:widowControl/>
        <w:adjustRightInd w:val="0"/>
        <w:snapToGrid w:val="0"/>
        <w:spacing w:line="360" w:lineRule="auto"/>
        <w:ind w:firstLine="560" w:firstLineChars="200"/>
        <w:rPr>
          <w:rFonts w:ascii="仿宋" w:hAnsi="仿宋" w:eastAsia="仿宋" w:cs="仿宋_GB2312"/>
          <w:kern w:val="0"/>
          <w:sz w:val="28"/>
          <w:szCs w:val="28"/>
        </w:rPr>
      </w:pPr>
      <w:r>
        <w:rPr>
          <w:rFonts w:hint="eastAsia" w:ascii="仿宋" w:hAnsi="仿宋" w:eastAsia="仿宋" w:cs="仿宋_GB2312"/>
          <w:color w:val="000000"/>
          <w:kern w:val="0"/>
          <w:sz w:val="28"/>
          <w:szCs w:val="28"/>
        </w:rPr>
        <w:t>一般推荐免试研究生人选按照</w:t>
      </w:r>
      <w:r>
        <w:rPr>
          <w:rFonts w:hint="eastAsia" w:ascii="仿宋" w:hAnsi="仿宋" w:eastAsia="仿宋" w:cs="仿宋_GB2312"/>
          <w:color w:val="000000"/>
          <w:kern w:val="0"/>
          <w:sz w:val="28"/>
          <w:szCs w:val="28"/>
          <w:lang w:val="en-US" w:eastAsia="zh-CN"/>
        </w:rPr>
        <w:t>本专业</w:t>
      </w:r>
      <w:r>
        <w:rPr>
          <w:rFonts w:hint="eastAsia" w:ascii="仿宋" w:hAnsi="仿宋" w:eastAsia="仿宋" w:cs="仿宋_GB2312"/>
          <w:color w:val="000000"/>
          <w:kern w:val="0"/>
          <w:sz w:val="28"/>
          <w:szCs w:val="28"/>
        </w:rPr>
        <w:t>学生的综合</w:t>
      </w:r>
      <w:r>
        <w:rPr>
          <w:rFonts w:hint="eastAsia" w:ascii="仿宋" w:hAnsi="仿宋" w:eastAsia="仿宋" w:cs="仿宋_GB2312"/>
          <w:color w:val="000000"/>
          <w:kern w:val="0"/>
          <w:sz w:val="28"/>
          <w:szCs w:val="28"/>
          <w:lang w:eastAsia="zh-Hans"/>
        </w:rPr>
        <w:t>评价总分</w:t>
      </w:r>
      <w:r>
        <w:rPr>
          <w:rFonts w:hint="eastAsia" w:ascii="仿宋" w:hAnsi="仿宋" w:eastAsia="仿宋" w:cs="仿宋_GB2312"/>
          <w:color w:val="000000"/>
          <w:kern w:val="0"/>
          <w:sz w:val="28"/>
          <w:szCs w:val="28"/>
        </w:rPr>
        <w:t>排名。</w:t>
      </w:r>
      <w:r>
        <w:rPr>
          <w:rFonts w:hint="eastAsia" w:ascii="仿宋" w:hAnsi="仿宋" w:eastAsia="仿宋" w:cs="仿宋_GB2312"/>
          <w:color w:val="000000"/>
          <w:kern w:val="0"/>
          <w:sz w:val="28"/>
          <w:szCs w:val="28"/>
          <w:lang w:eastAsia="zh-Hans"/>
        </w:rPr>
        <w:t>综合评价总分</w:t>
      </w:r>
      <w:r>
        <w:rPr>
          <w:rFonts w:hint="eastAsia" w:ascii="仿宋" w:hAnsi="仿宋" w:eastAsia="仿宋" w:cs="仿宋_GB2312"/>
          <w:color w:val="000000"/>
          <w:kern w:val="0"/>
          <w:sz w:val="28"/>
          <w:szCs w:val="28"/>
        </w:rPr>
        <w:t>实行百分制（四舍五入保留两位小数），由学业平均学分绩点（GPA）折算分（占85%）、</w:t>
      </w:r>
      <w:r>
        <w:rPr>
          <w:rFonts w:hint="eastAsia" w:ascii="仿宋" w:hAnsi="仿宋" w:eastAsia="仿宋" w:cs="仿宋_GB2312"/>
          <w:color w:val="000000"/>
          <w:kern w:val="0"/>
          <w:sz w:val="28"/>
          <w:szCs w:val="28"/>
          <w:lang w:val="en-US" w:eastAsia="zh-CN"/>
        </w:rPr>
        <w:t>创新能力评价分</w:t>
      </w:r>
      <w:r>
        <w:rPr>
          <w:rFonts w:hint="eastAsia" w:ascii="仿宋" w:hAnsi="仿宋" w:eastAsia="仿宋" w:cs="仿宋_GB2312"/>
          <w:color w:val="000000"/>
          <w:kern w:val="0"/>
          <w:sz w:val="28"/>
          <w:szCs w:val="28"/>
        </w:rPr>
        <w:t>（占</w:t>
      </w:r>
      <w:r>
        <w:rPr>
          <w:rFonts w:hint="eastAsia" w:ascii="仿宋" w:hAnsi="仿宋" w:eastAsia="仿宋" w:cs="仿宋_GB2312"/>
          <w:color w:val="000000"/>
          <w:kern w:val="0"/>
          <w:sz w:val="28"/>
          <w:szCs w:val="28"/>
          <w:lang w:val="en-US" w:eastAsia="zh-CN"/>
        </w:rPr>
        <w:t>10</w:t>
      </w:r>
      <w:r>
        <w:rPr>
          <w:rFonts w:hint="eastAsia" w:ascii="仿宋" w:hAnsi="仿宋" w:eastAsia="仿宋" w:cs="仿宋_GB2312"/>
          <w:color w:val="000000"/>
          <w:kern w:val="0"/>
          <w:sz w:val="28"/>
          <w:szCs w:val="28"/>
        </w:rPr>
        <w:t>%）</w:t>
      </w:r>
      <w:r>
        <w:rPr>
          <w:rFonts w:hint="eastAsia" w:ascii="仿宋" w:hAnsi="仿宋" w:eastAsia="仿宋" w:cs="仿宋_GB2312"/>
          <w:color w:val="000000"/>
          <w:kern w:val="0"/>
          <w:sz w:val="28"/>
          <w:szCs w:val="28"/>
          <w:lang w:eastAsia="zh-CN"/>
        </w:rPr>
        <w:t>、发展素养评价分（5%）</w:t>
      </w:r>
      <w:r>
        <w:rPr>
          <w:rFonts w:hint="eastAsia" w:ascii="仿宋" w:hAnsi="仿宋" w:eastAsia="仿宋" w:cs="仿宋_GB2312"/>
          <w:kern w:val="0"/>
          <w:sz w:val="28"/>
          <w:szCs w:val="28"/>
        </w:rPr>
        <w:t>组成。单项累计总分不得超过该项最高分，分值按四舍五入保留至小数点后两位。具体要求如下：</w:t>
      </w:r>
    </w:p>
    <w:p>
      <w:pPr>
        <w:widowControl/>
        <w:numPr>
          <w:ilvl w:val="0"/>
          <w:numId w:val="1"/>
        </w:numPr>
        <w:adjustRightInd w:val="0"/>
        <w:snapToGrid w:val="0"/>
        <w:spacing w:line="360" w:lineRule="auto"/>
        <w:ind w:firstLine="562" w:firstLineChars="200"/>
        <w:rPr>
          <w:rFonts w:ascii="仿宋" w:hAnsi="仿宋" w:eastAsia="仿宋" w:cs="仿宋_GB2312"/>
          <w:kern w:val="0"/>
          <w:sz w:val="28"/>
          <w:szCs w:val="28"/>
        </w:rPr>
      </w:pPr>
      <w:r>
        <w:rPr>
          <w:rFonts w:hint="eastAsia" w:ascii="仿宋" w:hAnsi="仿宋" w:eastAsia="仿宋" w:cs="仿宋_GB2312"/>
          <w:b/>
          <w:bCs/>
          <w:kern w:val="0"/>
          <w:sz w:val="28"/>
          <w:szCs w:val="28"/>
        </w:rPr>
        <w:t>学业平均学分绩点折算分：（学业平均分绩点（GPA）*10+50）*85%）</w:t>
      </w:r>
      <w:r>
        <w:rPr>
          <w:rFonts w:ascii="仿宋" w:hAnsi="仿宋" w:eastAsia="仿宋" w:cs="仿宋_GB2312"/>
          <w:kern w:val="0"/>
          <w:sz w:val="28"/>
          <w:szCs w:val="28"/>
        </w:rPr>
        <w:t>（</w:t>
      </w:r>
      <w:r>
        <w:rPr>
          <w:rFonts w:hint="eastAsia" w:ascii="仿宋" w:hAnsi="仿宋" w:eastAsia="仿宋" w:cs="仿宋_GB2312"/>
          <w:kern w:val="0"/>
          <w:sz w:val="28"/>
          <w:szCs w:val="28"/>
        </w:rPr>
        <w:t>成绩四舍五入</w:t>
      </w:r>
      <w:r>
        <w:rPr>
          <w:rFonts w:ascii="仿宋" w:hAnsi="仿宋" w:eastAsia="仿宋" w:cs="仿宋_GB2312"/>
          <w:kern w:val="0"/>
          <w:sz w:val="28"/>
          <w:szCs w:val="28"/>
        </w:rPr>
        <w:t>保留小数点后两位）</w:t>
      </w:r>
      <w:r>
        <w:rPr>
          <w:rFonts w:hint="eastAsia" w:ascii="仿宋" w:hAnsi="仿宋" w:eastAsia="仿宋" w:cs="仿宋_GB2312"/>
          <w:kern w:val="0"/>
          <w:sz w:val="28"/>
          <w:szCs w:val="28"/>
        </w:rPr>
        <w:t>。</w:t>
      </w:r>
    </w:p>
    <w:p>
      <w:pPr>
        <w:widowControl/>
        <w:adjustRightInd w:val="0"/>
        <w:snapToGrid w:val="0"/>
        <w:spacing w:line="360" w:lineRule="auto"/>
        <w:ind w:firstLine="562" w:firstLineChars="200"/>
        <w:rPr>
          <w:rFonts w:hint="default" w:ascii="仿宋" w:hAnsi="仿宋" w:eastAsia="仿宋" w:cs="仿宋_GB2312"/>
          <w:b w:val="0"/>
          <w:bCs w:val="0"/>
          <w:iCs w:val="0"/>
          <w:color w:val="auto"/>
          <w:kern w:val="0"/>
          <w:sz w:val="28"/>
          <w:szCs w:val="28"/>
        </w:rPr>
      </w:pPr>
      <w:r>
        <w:rPr>
          <w:rFonts w:hint="eastAsia" w:ascii="仿宋" w:hAnsi="仿宋" w:eastAsia="仿宋" w:cs="仿宋_GB2312"/>
          <w:b/>
          <w:bCs/>
          <w:color w:val="000000"/>
          <w:kern w:val="0"/>
          <w:sz w:val="28"/>
          <w:szCs w:val="28"/>
        </w:rPr>
        <w:t>（二）</w:t>
      </w:r>
      <w:r>
        <w:rPr>
          <w:rFonts w:hint="eastAsia" w:ascii="仿宋" w:hAnsi="仿宋" w:eastAsia="仿宋" w:cs="仿宋_GB2312"/>
          <w:b/>
          <w:bCs/>
          <w:color w:val="000000"/>
          <w:kern w:val="0"/>
          <w:sz w:val="28"/>
          <w:szCs w:val="28"/>
          <w:lang w:val="en-US" w:eastAsia="zh-CN"/>
        </w:rPr>
        <w:t>创新能力评价分：</w:t>
      </w:r>
      <w:r>
        <w:rPr>
          <w:rFonts w:ascii="仿宋" w:hAnsi="仿宋" w:eastAsia="仿宋" w:cs="仿宋_GB2312"/>
          <w:color w:val="auto"/>
          <w:kern w:val="0"/>
          <w:sz w:val="28"/>
          <w:szCs w:val="28"/>
        </w:rPr>
        <w:t>包括</w:t>
      </w:r>
      <w:r>
        <w:rPr>
          <w:rFonts w:hint="default" w:ascii="仿宋" w:hAnsi="仿宋" w:eastAsia="仿宋" w:cs="仿宋_GB2312"/>
          <w:color w:val="auto"/>
          <w:kern w:val="0"/>
          <w:sz w:val="28"/>
          <w:szCs w:val="28"/>
        </w:rPr>
        <w:t>发表论文、</w:t>
      </w:r>
      <w:r>
        <w:rPr>
          <w:rFonts w:ascii="仿宋" w:hAnsi="仿宋" w:eastAsia="仿宋" w:cs="仿宋_GB2312"/>
          <w:color w:val="auto"/>
          <w:kern w:val="0"/>
          <w:sz w:val="28"/>
          <w:szCs w:val="28"/>
        </w:rPr>
        <w:t>学生</w:t>
      </w:r>
      <w:r>
        <w:rPr>
          <w:rFonts w:hint="default" w:ascii="仿宋" w:hAnsi="仿宋" w:eastAsia="仿宋" w:cs="仿宋_GB2312"/>
          <w:color w:val="auto"/>
          <w:kern w:val="0"/>
          <w:sz w:val="28"/>
          <w:szCs w:val="28"/>
        </w:rPr>
        <w:t>竞赛、申请专利等</w:t>
      </w:r>
      <w:r>
        <w:rPr>
          <w:rFonts w:ascii="仿宋" w:hAnsi="仿宋" w:eastAsia="仿宋" w:cs="仿宋_GB2312"/>
          <w:color w:val="auto"/>
          <w:kern w:val="0"/>
          <w:sz w:val="28"/>
          <w:szCs w:val="28"/>
        </w:rPr>
        <w:t>。</w:t>
      </w:r>
      <w:r>
        <w:rPr>
          <w:rFonts w:hint="default" w:ascii="仿宋" w:hAnsi="仿宋" w:eastAsia="仿宋" w:cs="仿宋_GB2312"/>
          <w:b w:val="0"/>
          <w:color w:val="auto"/>
          <w:kern w:val="0"/>
          <w:sz w:val="28"/>
          <w:szCs w:val="28"/>
        </w:rPr>
        <w:t>成果</w:t>
      </w:r>
      <w:r>
        <w:rPr>
          <w:rFonts w:hint="default" w:ascii="仿宋" w:hAnsi="仿宋" w:eastAsia="仿宋" w:cs="仿宋_GB2312"/>
          <w:b w:val="0"/>
          <w:bCs w:val="0"/>
          <w:color w:val="auto"/>
          <w:kern w:val="0"/>
          <w:sz w:val="28"/>
          <w:szCs w:val="28"/>
        </w:rPr>
        <w:t>截止日期为推免当年8月31日。</w:t>
      </w:r>
      <w:r>
        <w:rPr>
          <w:rFonts w:hint="default" w:ascii="仿宋" w:hAnsi="仿宋" w:eastAsia="仿宋" w:cs="仿宋_GB2312"/>
          <w:bCs w:val="0"/>
          <w:iCs w:val="0"/>
          <w:color w:val="auto"/>
          <w:kern w:val="0"/>
          <w:sz w:val="28"/>
          <w:szCs w:val="28"/>
        </w:rPr>
        <w:t>通过学校特殊学术专长鉴定的学生，创新能力</w:t>
      </w:r>
      <w:r>
        <w:rPr>
          <w:rFonts w:ascii="仿宋" w:hAnsi="仿宋" w:eastAsia="仿宋" w:cs="仿宋_GB2312"/>
          <w:bCs w:val="0"/>
          <w:iCs w:val="0"/>
          <w:color w:val="auto"/>
          <w:kern w:val="0"/>
          <w:sz w:val="28"/>
          <w:szCs w:val="28"/>
        </w:rPr>
        <w:t>评价</w:t>
      </w:r>
      <w:r>
        <w:rPr>
          <w:rFonts w:hint="default" w:ascii="仿宋" w:hAnsi="仿宋" w:eastAsia="仿宋" w:cs="仿宋_GB2312"/>
          <w:bCs w:val="0"/>
          <w:iCs w:val="0"/>
          <w:color w:val="auto"/>
          <w:kern w:val="0"/>
          <w:sz w:val="28"/>
          <w:szCs w:val="28"/>
        </w:rPr>
        <w:t>按满分10分计算。</w:t>
      </w:r>
    </w:p>
    <w:p>
      <w:pPr>
        <w:widowControl/>
        <w:adjustRightInd w:val="0"/>
        <w:snapToGrid w:val="0"/>
        <w:spacing w:line="360" w:lineRule="auto"/>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（1）发表学术论文</w:t>
      </w:r>
    </w:p>
    <w:p>
      <w:pPr>
        <w:widowControl/>
        <w:adjustRightInd w:val="0"/>
        <w:snapToGrid w:val="0"/>
        <w:spacing w:line="360" w:lineRule="auto"/>
        <w:ind w:firstLine="840" w:firstLineChars="300"/>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rPr>
        <w:t>仅限学生本科阶段以华南农业大学为第一完成单位，学生在期刊、高水平学术会议上发表的与学业相关的科研论文，论文等级界定以《华南农业大学学术论文评价方案（试行）》（华南农办〔2021〕27 号）为准</w:t>
      </w:r>
      <w:r>
        <w:rPr>
          <w:rFonts w:hint="eastAsia" w:ascii="仿宋" w:hAnsi="仿宋" w:eastAsia="仿宋" w:cs="仿宋_GB2312"/>
          <w:color w:val="000000"/>
          <w:kern w:val="0"/>
          <w:sz w:val="28"/>
          <w:szCs w:val="28"/>
          <w:lang w:eastAsia="zh-CN"/>
        </w:rPr>
        <w:t>，</w:t>
      </w:r>
      <w:r>
        <w:rPr>
          <w:rFonts w:hint="eastAsia" w:ascii="仿宋" w:hAnsi="仿宋" w:eastAsia="仿宋" w:cs="仿宋_GB2312"/>
          <w:color w:val="000000"/>
          <w:kern w:val="0"/>
          <w:sz w:val="28"/>
          <w:szCs w:val="28"/>
          <w:lang w:val="en-US" w:eastAsia="zh-CN"/>
        </w:rPr>
        <w:t>计分如下：</w:t>
      </w:r>
    </w:p>
    <w:tbl>
      <w:tblPr>
        <w:tblStyle w:val="10"/>
        <w:tblW w:w="886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9"/>
        <w:gridCol w:w="705"/>
        <w:gridCol w:w="1185"/>
        <w:gridCol w:w="1230"/>
        <w:gridCol w:w="1200"/>
        <w:gridCol w:w="38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jc w:val="center"/>
        </w:trPr>
        <w:tc>
          <w:tcPr>
            <w:tcW w:w="1424" w:type="dxa"/>
            <w:gridSpan w:val="2"/>
            <w:vAlign w:val="center"/>
          </w:tcPr>
          <w:p>
            <w:pPr>
              <w:widowControl/>
              <w:adjustRightInd w:val="0"/>
              <w:snapToGrid w:val="0"/>
              <w:jc w:val="center"/>
              <w:rPr>
                <w:rFonts w:ascii="仿宋" w:hAnsi="仿宋" w:eastAsia="仿宋" w:cs="FangSong_GB2312"/>
                <w:b/>
                <w:bCs/>
                <w:kern w:val="0"/>
                <w:sz w:val="24"/>
              </w:rPr>
            </w:pPr>
            <w:r>
              <w:rPr>
                <w:rFonts w:hint="eastAsia" w:ascii="仿宋" w:hAnsi="仿宋" w:eastAsia="仿宋" w:cs="FangSong_GB2312"/>
                <w:b/>
                <w:bCs/>
                <w:kern w:val="0"/>
                <w:sz w:val="24"/>
              </w:rPr>
              <w:t>项  目</w:t>
            </w:r>
          </w:p>
        </w:tc>
        <w:tc>
          <w:tcPr>
            <w:tcW w:w="3615" w:type="dxa"/>
            <w:gridSpan w:val="3"/>
            <w:vAlign w:val="center"/>
          </w:tcPr>
          <w:p>
            <w:pPr>
              <w:widowControl/>
              <w:adjustRightInd w:val="0"/>
              <w:snapToGrid w:val="0"/>
              <w:jc w:val="center"/>
              <w:rPr>
                <w:rFonts w:ascii="仿宋" w:hAnsi="仿宋" w:eastAsia="仿宋" w:cs="FangSong_GB2312"/>
                <w:b/>
                <w:bCs/>
                <w:kern w:val="0"/>
                <w:sz w:val="24"/>
              </w:rPr>
            </w:pPr>
            <w:r>
              <w:rPr>
                <w:rFonts w:hint="eastAsia" w:ascii="仿宋" w:hAnsi="仿宋" w:eastAsia="仿宋" w:cs="FangSong_GB2312"/>
                <w:b/>
                <w:bCs/>
                <w:kern w:val="0"/>
                <w:sz w:val="24"/>
              </w:rPr>
              <w:t>计分分值</w:t>
            </w:r>
          </w:p>
        </w:tc>
        <w:tc>
          <w:tcPr>
            <w:tcW w:w="3822" w:type="dxa"/>
            <w:vMerge w:val="restart"/>
            <w:vAlign w:val="center"/>
          </w:tcPr>
          <w:p>
            <w:pPr>
              <w:widowControl/>
              <w:adjustRightInd w:val="0"/>
              <w:snapToGrid w:val="0"/>
              <w:jc w:val="center"/>
              <w:rPr>
                <w:rFonts w:ascii="仿宋" w:hAnsi="仿宋" w:eastAsia="仿宋" w:cs="FangSong_GB2312"/>
                <w:b/>
                <w:bCs/>
                <w:kern w:val="0"/>
                <w:sz w:val="28"/>
                <w:szCs w:val="28"/>
              </w:rPr>
            </w:pPr>
            <w:r>
              <w:rPr>
                <w:rFonts w:hint="eastAsia" w:ascii="仿宋" w:hAnsi="仿宋" w:eastAsia="仿宋" w:cs="FangSong_GB2312"/>
                <w:b/>
                <w:bCs/>
                <w:kern w:val="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719" w:type="dxa"/>
            <w:vAlign w:val="center"/>
          </w:tcPr>
          <w:p>
            <w:pPr>
              <w:widowControl/>
              <w:adjustRightInd w:val="0"/>
              <w:snapToGrid w:val="0"/>
              <w:jc w:val="center"/>
              <w:rPr>
                <w:rFonts w:ascii="仿宋" w:hAnsi="仿宋" w:eastAsia="仿宋" w:cs="FangSong_GB2312"/>
                <w:b/>
                <w:bCs/>
                <w:kern w:val="0"/>
                <w:sz w:val="24"/>
              </w:rPr>
            </w:pPr>
            <w:r>
              <w:rPr>
                <w:rFonts w:hint="eastAsia" w:ascii="仿宋" w:hAnsi="仿宋" w:eastAsia="仿宋" w:cs="FangSong_GB2312"/>
                <w:b/>
                <w:bCs/>
                <w:kern w:val="0"/>
                <w:sz w:val="24"/>
              </w:rPr>
              <w:t>类别</w:t>
            </w:r>
          </w:p>
        </w:tc>
        <w:tc>
          <w:tcPr>
            <w:tcW w:w="705" w:type="dxa"/>
            <w:vAlign w:val="center"/>
          </w:tcPr>
          <w:p>
            <w:pPr>
              <w:widowControl/>
              <w:adjustRightInd w:val="0"/>
              <w:snapToGrid w:val="0"/>
              <w:jc w:val="center"/>
              <w:rPr>
                <w:rFonts w:ascii="仿宋" w:hAnsi="仿宋" w:eastAsia="仿宋" w:cs="FangSong_GB2312"/>
                <w:b/>
                <w:bCs/>
                <w:kern w:val="0"/>
                <w:sz w:val="24"/>
              </w:rPr>
            </w:pPr>
            <w:r>
              <w:rPr>
                <w:rFonts w:hint="eastAsia" w:ascii="仿宋" w:hAnsi="仿宋" w:eastAsia="仿宋" w:cs="FangSong_GB2312"/>
                <w:b/>
                <w:bCs/>
                <w:kern w:val="0"/>
                <w:sz w:val="24"/>
              </w:rPr>
              <w:t>等级</w:t>
            </w:r>
          </w:p>
        </w:tc>
        <w:tc>
          <w:tcPr>
            <w:tcW w:w="1185" w:type="dxa"/>
            <w:vAlign w:val="center"/>
          </w:tcPr>
          <w:p>
            <w:pPr>
              <w:widowControl/>
              <w:adjustRightInd w:val="0"/>
              <w:snapToGrid w:val="0"/>
              <w:jc w:val="center"/>
              <w:rPr>
                <w:rFonts w:ascii="仿宋" w:hAnsi="仿宋" w:eastAsia="仿宋" w:cs="FangSong_GB2312"/>
                <w:b/>
                <w:bCs/>
                <w:kern w:val="0"/>
                <w:sz w:val="24"/>
              </w:rPr>
            </w:pPr>
            <w:r>
              <w:rPr>
                <w:rFonts w:hint="eastAsia" w:ascii="仿宋" w:hAnsi="仿宋" w:eastAsia="仿宋" w:cs="FangSong_GB2312"/>
                <w:b/>
                <w:bCs/>
                <w:kern w:val="0"/>
                <w:sz w:val="24"/>
              </w:rPr>
              <w:t>第一作者</w:t>
            </w:r>
          </w:p>
        </w:tc>
        <w:tc>
          <w:tcPr>
            <w:tcW w:w="1230" w:type="dxa"/>
            <w:vAlign w:val="center"/>
          </w:tcPr>
          <w:p>
            <w:pPr>
              <w:widowControl/>
              <w:adjustRightInd w:val="0"/>
              <w:snapToGrid w:val="0"/>
              <w:jc w:val="center"/>
              <w:rPr>
                <w:rFonts w:ascii="仿宋" w:hAnsi="仿宋" w:eastAsia="仿宋" w:cs="FangSong_GB2312"/>
                <w:b/>
                <w:bCs/>
                <w:kern w:val="0"/>
                <w:sz w:val="24"/>
              </w:rPr>
            </w:pPr>
            <w:r>
              <w:rPr>
                <w:rFonts w:hint="eastAsia" w:ascii="仿宋" w:hAnsi="仿宋" w:eastAsia="仿宋" w:cs="FangSong_GB2312"/>
                <w:b/>
                <w:bCs/>
                <w:kern w:val="0"/>
                <w:sz w:val="24"/>
              </w:rPr>
              <w:t>第二作者</w:t>
            </w:r>
          </w:p>
        </w:tc>
        <w:tc>
          <w:tcPr>
            <w:tcW w:w="1200" w:type="dxa"/>
            <w:vAlign w:val="center"/>
          </w:tcPr>
          <w:p>
            <w:pPr>
              <w:widowControl/>
              <w:adjustRightInd w:val="0"/>
              <w:snapToGrid w:val="0"/>
              <w:jc w:val="center"/>
              <w:rPr>
                <w:rFonts w:ascii="仿宋" w:hAnsi="仿宋" w:eastAsia="仿宋" w:cs="FangSong_GB2312"/>
                <w:b/>
                <w:bCs/>
                <w:kern w:val="0"/>
                <w:sz w:val="24"/>
              </w:rPr>
            </w:pPr>
            <w:r>
              <w:rPr>
                <w:rFonts w:hint="eastAsia" w:ascii="仿宋" w:hAnsi="仿宋" w:eastAsia="仿宋" w:cs="FangSong_GB2312"/>
                <w:b/>
                <w:bCs/>
                <w:kern w:val="0"/>
                <w:sz w:val="24"/>
              </w:rPr>
              <w:t>第三作者</w:t>
            </w:r>
          </w:p>
        </w:tc>
        <w:tc>
          <w:tcPr>
            <w:tcW w:w="3822" w:type="dxa"/>
            <w:vMerge w:val="continue"/>
            <w:vAlign w:val="center"/>
          </w:tcPr>
          <w:p>
            <w:pPr>
              <w:widowControl/>
              <w:adjustRightInd w:val="0"/>
              <w:snapToGrid w:val="0"/>
              <w:jc w:val="center"/>
              <w:rPr>
                <w:rFonts w:ascii="仿宋" w:hAnsi="仿宋" w:eastAsia="仿宋" w:cs="FangSong_GB2312"/>
                <w:b/>
                <w:bCs/>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1424" w:type="dxa"/>
            <w:gridSpan w:val="2"/>
            <w:vAlign w:val="center"/>
          </w:tcPr>
          <w:p>
            <w:pPr>
              <w:widowControl/>
              <w:adjustRightInd w:val="0"/>
              <w:snapToGrid w:val="0"/>
              <w:jc w:val="center"/>
              <w:rPr>
                <w:rFonts w:ascii="仿宋" w:hAnsi="仿宋" w:eastAsia="仿宋" w:cs="FangSong_GB2312"/>
                <w:kern w:val="0"/>
                <w:sz w:val="24"/>
              </w:rPr>
            </w:pPr>
            <w:r>
              <w:rPr>
                <w:rFonts w:hint="eastAsia" w:ascii="仿宋" w:hAnsi="仿宋" w:eastAsia="仿宋" w:cs="FangSong_GB2312"/>
                <w:kern w:val="0"/>
                <w:sz w:val="24"/>
              </w:rPr>
              <w:t>T1、T2类</w:t>
            </w:r>
          </w:p>
        </w:tc>
        <w:tc>
          <w:tcPr>
            <w:tcW w:w="1185" w:type="dxa"/>
            <w:vAlign w:val="center"/>
          </w:tcPr>
          <w:p>
            <w:pPr>
              <w:widowControl/>
              <w:adjustRightInd w:val="0"/>
              <w:snapToGrid w:val="0"/>
              <w:jc w:val="center"/>
              <w:rPr>
                <w:rFonts w:hint="default" w:ascii="仿宋" w:hAnsi="仿宋" w:eastAsia="仿宋" w:cs="FangSong_GB2312"/>
                <w:b/>
                <w:bCs/>
                <w:kern w:val="0"/>
                <w:sz w:val="24"/>
                <w:lang w:val="en-US" w:eastAsia="zh-CN"/>
              </w:rPr>
            </w:pPr>
            <w:r>
              <w:rPr>
                <w:rFonts w:hint="eastAsia" w:ascii="仿宋" w:hAnsi="仿宋" w:eastAsia="仿宋" w:cs="FangSong_GB2312"/>
                <w:b/>
                <w:bCs/>
                <w:kern w:val="0"/>
                <w:sz w:val="24"/>
                <w:lang w:val="en-US" w:eastAsia="zh-CN"/>
              </w:rPr>
              <w:t>8</w:t>
            </w:r>
          </w:p>
        </w:tc>
        <w:tc>
          <w:tcPr>
            <w:tcW w:w="1230" w:type="dxa"/>
            <w:vAlign w:val="center"/>
          </w:tcPr>
          <w:p>
            <w:pPr>
              <w:widowControl/>
              <w:adjustRightInd w:val="0"/>
              <w:snapToGrid w:val="0"/>
              <w:jc w:val="center"/>
              <w:rPr>
                <w:rFonts w:hint="eastAsia" w:ascii="仿宋" w:hAnsi="仿宋" w:eastAsia="仿宋" w:cs="FangSong_GB2312"/>
                <w:b/>
                <w:bCs/>
                <w:kern w:val="0"/>
                <w:sz w:val="24"/>
                <w:lang w:val="en-US" w:eastAsia="zh-CN"/>
              </w:rPr>
            </w:pPr>
            <w:r>
              <w:rPr>
                <w:rFonts w:hint="eastAsia" w:ascii="仿宋" w:hAnsi="仿宋" w:eastAsia="仿宋" w:cs="FangSong_GB2312"/>
                <w:b/>
                <w:bCs/>
                <w:kern w:val="0"/>
                <w:sz w:val="24"/>
                <w:lang w:val="en-US" w:eastAsia="zh-CN"/>
              </w:rPr>
              <w:t>6</w:t>
            </w:r>
          </w:p>
        </w:tc>
        <w:tc>
          <w:tcPr>
            <w:tcW w:w="1200" w:type="dxa"/>
            <w:vAlign w:val="center"/>
          </w:tcPr>
          <w:p>
            <w:pPr>
              <w:widowControl/>
              <w:adjustRightInd w:val="0"/>
              <w:snapToGrid w:val="0"/>
              <w:jc w:val="center"/>
              <w:rPr>
                <w:rFonts w:hint="eastAsia" w:ascii="仿宋" w:hAnsi="仿宋" w:eastAsia="仿宋" w:cs="FangSong_GB2312"/>
                <w:b/>
                <w:bCs/>
                <w:kern w:val="0"/>
                <w:sz w:val="24"/>
                <w:lang w:val="en-US" w:eastAsia="zh-CN"/>
              </w:rPr>
            </w:pPr>
            <w:r>
              <w:rPr>
                <w:rFonts w:hint="eastAsia" w:ascii="仿宋" w:hAnsi="仿宋" w:eastAsia="仿宋" w:cs="FangSong_GB2312"/>
                <w:b/>
                <w:bCs/>
                <w:kern w:val="0"/>
                <w:sz w:val="24"/>
                <w:lang w:val="en-US" w:eastAsia="zh-CN"/>
              </w:rPr>
              <w:t>4</w:t>
            </w:r>
          </w:p>
        </w:tc>
        <w:tc>
          <w:tcPr>
            <w:tcW w:w="3822" w:type="dxa"/>
            <w:vMerge w:val="restart"/>
            <w:vAlign w:val="center"/>
          </w:tcPr>
          <w:p>
            <w:pPr>
              <w:widowControl/>
              <w:adjustRightInd w:val="0"/>
              <w:snapToGrid w:val="0"/>
              <w:spacing w:after="156" w:afterLines="50"/>
              <w:rPr>
                <w:rFonts w:ascii="仿宋" w:hAnsi="仿宋" w:eastAsia="仿宋" w:cs="FangSong_GB2312"/>
                <w:kern w:val="0"/>
                <w:szCs w:val="21"/>
              </w:rPr>
            </w:pPr>
            <w:r>
              <w:rPr>
                <w:rFonts w:hint="eastAsia" w:ascii="仿宋" w:hAnsi="仿宋" w:eastAsia="仿宋" w:cs="FangSong_GB2312"/>
                <w:kern w:val="0"/>
                <w:szCs w:val="21"/>
              </w:rPr>
              <w:t>1、所发表论文必须</w:t>
            </w:r>
            <w:r>
              <w:rPr>
                <w:rFonts w:hint="eastAsia" w:ascii="仿宋" w:hAnsi="仿宋" w:eastAsia="仿宋" w:cs="FangSong_GB2312"/>
                <w:b/>
                <w:bCs/>
                <w:kern w:val="0"/>
                <w:szCs w:val="21"/>
              </w:rPr>
              <w:t>与本专业密切相关</w:t>
            </w:r>
            <w:r>
              <w:rPr>
                <w:rFonts w:hint="eastAsia" w:ascii="仿宋" w:hAnsi="仿宋" w:eastAsia="仿宋" w:cs="FangSong_GB2312"/>
                <w:kern w:val="0"/>
                <w:szCs w:val="21"/>
              </w:rPr>
              <w:t>，与专业无关或相关度不高的论文不予加分；</w:t>
            </w:r>
          </w:p>
          <w:p>
            <w:pPr>
              <w:adjustRightInd w:val="0"/>
              <w:snapToGrid w:val="0"/>
              <w:spacing w:after="156" w:afterLines="50"/>
              <w:rPr>
                <w:rFonts w:ascii="仿宋" w:hAnsi="仿宋" w:eastAsia="仿宋" w:cs="FangSong_GB2312"/>
                <w:szCs w:val="21"/>
              </w:rPr>
            </w:pPr>
            <w:r>
              <w:rPr>
                <w:rFonts w:hint="eastAsia" w:ascii="仿宋" w:hAnsi="仿宋" w:eastAsia="仿宋" w:cs="FangSong_GB2312"/>
                <w:kern w:val="0"/>
                <w:szCs w:val="21"/>
              </w:rPr>
              <w:t>2、论文</w:t>
            </w:r>
            <w:r>
              <w:rPr>
                <w:rFonts w:hint="eastAsia" w:ascii="仿宋" w:hAnsi="仿宋" w:eastAsia="仿宋" w:cs="FangSong_GB2312"/>
                <w:szCs w:val="21"/>
              </w:rPr>
              <w:t>要求学生第一署名单位为华南农业大学，首要通讯作者应为华农老师，且应在推免当年8月31日前刊出或收录；</w:t>
            </w:r>
          </w:p>
          <w:p>
            <w:pPr>
              <w:widowControl/>
              <w:adjustRightInd w:val="0"/>
              <w:snapToGrid w:val="0"/>
              <w:rPr>
                <w:rFonts w:ascii="仿宋" w:hAnsi="仿宋" w:eastAsia="仿宋" w:cs="FangSong_GB2312"/>
                <w:b/>
                <w:bCs/>
                <w:kern w:val="0"/>
                <w:sz w:val="28"/>
                <w:szCs w:val="28"/>
              </w:rPr>
            </w:pPr>
            <w:r>
              <w:rPr>
                <w:rFonts w:hint="eastAsia" w:ascii="仿宋" w:hAnsi="仿宋" w:eastAsia="仿宋" w:cs="FangSong_GB2312"/>
                <w:szCs w:val="21"/>
              </w:rPr>
              <w:t>3、论文级别以《华南农业大学学术论文评价方案（试行）》华南农办〔2021〕27号文为准，需提供图书馆出具的清楚写明期刊分区、影响因子、收录时间等情况的证明。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1424" w:type="dxa"/>
            <w:gridSpan w:val="2"/>
            <w:vAlign w:val="center"/>
          </w:tcPr>
          <w:p>
            <w:pPr>
              <w:widowControl/>
              <w:adjustRightInd w:val="0"/>
              <w:snapToGrid w:val="0"/>
              <w:jc w:val="center"/>
              <w:rPr>
                <w:rFonts w:ascii="仿宋" w:hAnsi="仿宋" w:eastAsia="仿宋" w:cs="FangSong_GB2312"/>
                <w:kern w:val="0"/>
                <w:sz w:val="24"/>
              </w:rPr>
            </w:pPr>
            <w:r>
              <w:rPr>
                <w:rFonts w:hint="eastAsia" w:ascii="仿宋" w:hAnsi="仿宋" w:eastAsia="仿宋" w:cs="FangSong_GB2312"/>
                <w:kern w:val="0"/>
                <w:sz w:val="24"/>
              </w:rPr>
              <w:t>A类</w:t>
            </w:r>
          </w:p>
        </w:tc>
        <w:tc>
          <w:tcPr>
            <w:tcW w:w="1185" w:type="dxa"/>
            <w:vAlign w:val="center"/>
          </w:tcPr>
          <w:p>
            <w:pPr>
              <w:widowControl/>
              <w:adjustRightInd w:val="0"/>
              <w:snapToGrid w:val="0"/>
              <w:jc w:val="center"/>
              <w:rPr>
                <w:rFonts w:hint="eastAsia" w:ascii="仿宋" w:hAnsi="仿宋" w:eastAsia="仿宋" w:cs="FangSong_GB2312"/>
                <w:kern w:val="0"/>
                <w:sz w:val="24"/>
                <w:lang w:val="en-US" w:eastAsia="zh-CN"/>
              </w:rPr>
            </w:pPr>
            <w:r>
              <w:rPr>
                <w:rFonts w:hint="eastAsia" w:ascii="仿宋" w:hAnsi="仿宋" w:eastAsia="仿宋" w:cs="FangSong_GB2312"/>
                <w:kern w:val="0"/>
                <w:sz w:val="24"/>
                <w:lang w:val="en-US" w:eastAsia="zh-CN"/>
              </w:rPr>
              <w:t>6</w:t>
            </w:r>
          </w:p>
        </w:tc>
        <w:tc>
          <w:tcPr>
            <w:tcW w:w="1230" w:type="dxa"/>
            <w:vAlign w:val="center"/>
          </w:tcPr>
          <w:p>
            <w:pPr>
              <w:widowControl/>
              <w:adjustRightInd w:val="0"/>
              <w:snapToGrid w:val="0"/>
              <w:jc w:val="center"/>
              <w:rPr>
                <w:rFonts w:hint="eastAsia" w:ascii="仿宋" w:hAnsi="仿宋" w:eastAsia="仿宋" w:cs="FangSong_GB2312"/>
                <w:kern w:val="0"/>
                <w:sz w:val="24"/>
                <w:lang w:val="en-US" w:eastAsia="zh-CN"/>
              </w:rPr>
            </w:pPr>
            <w:r>
              <w:rPr>
                <w:rFonts w:hint="eastAsia" w:ascii="仿宋" w:hAnsi="仿宋" w:eastAsia="仿宋" w:cs="FangSong_GB2312"/>
                <w:kern w:val="0"/>
                <w:sz w:val="24"/>
                <w:lang w:val="en-US" w:eastAsia="zh-CN"/>
              </w:rPr>
              <w:t>4</w:t>
            </w:r>
          </w:p>
        </w:tc>
        <w:tc>
          <w:tcPr>
            <w:tcW w:w="1200" w:type="dxa"/>
            <w:vAlign w:val="center"/>
          </w:tcPr>
          <w:p>
            <w:pPr>
              <w:widowControl/>
              <w:adjustRightInd w:val="0"/>
              <w:snapToGrid w:val="0"/>
              <w:jc w:val="center"/>
              <w:rPr>
                <w:rFonts w:hint="eastAsia" w:ascii="仿宋" w:hAnsi="仿宋" w:eastAsia="仿宋" w:cs="FangSong_GB2312"/>
                <w:kern w:val="0"/>
                <w:sz w:val="24"/>
                <w:lang w:val="en-US" w:eastAsia="zh-CN"/>
              </w:rPr>
            </w:pPr>
            <w:r>
              <w:rPr>
                <w:rFonts w:hint="eastAsia" w:ascii="仿宋" w:hAnsi="仿宋" w:eastAsia="仿宋" w:cs="FangSong_GB2312"/>
                <w:kern w:val="0"/>
                <w:sz w:val="24"/>
                <w:lang w:val="en-US" w:eastAsia="zh-CN"/>
              </w:rPr>
              <w:t>/</w:t>
            </w:r>
          </w:p>
        </w:tc>
        <w:tc>
          <w:tcPr>
            <w:tcW w:w="3822" w:type="dxa"/>
            <w:vMerge w:val="continue"/>
            <w:vAlign w:val="center"/>
          </w:tcPr>
          <w:p>
            <w:pPr>
              <w:widowControl/>
              <w:adjustRightInd w:val="0"/>
              <w:snapToGrid w:val="0"/>
              <w:jc w:val="center"/>
              <w:rPr>
                <w:rFonts w:ascii="仿宋" w:hAnsi="仿宋" w:eastAsia="仿宋" w:cs="FangSong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1" w:hRule="atLeast"/>
          <w:jc w:val="center"/>
        </w:trPr>
        <w:tc>
          <w:tcPr>
            <w:tcW w:w="1424" w:type="dxa"/>
            <w:gridSpan w:val="2"/>
            <w:vAlign w:val="center"/>
          </w:tcPr>
          <w:p>
            <w:pPr>
              <w:widowControl/>
              <w:adjustRightInd w:val="0"/>
              <w:snapToGrid w:val="0"/>
              <w:jc w:val="center"/>
              <w:rPr>
                <w:rFonts w:ascii="仿宋" w:hAnsi="仿宋" w:eastAsia="仿宋" w:cs="FangSong_GB2312"/>
                <w:kern w:val="0"/>
                <w:sz w:val="24"/>
              </w:rPr>
            </w:pPr>
            <w:r>
              <w:rPr>
                <w:rFonts w:hint="eastAsia" w:ascii="仿宋" w:hAnsi="仿宋" w:eastAsia="仿宋" w:cs="FangSong_GB2312"/>
                <w:kern w:val="0"/>
                <w:sz w:val="24"/>
              </w:rPr>
              <w:t>B类</w:t>
            </w:r>
          </w:p>
        </w:tc>
        <w:tc>
          <w:tcPr>
            <w:tcW w:w="1185" w:type="dxa"/>
            <w:vAlign w:val="center"/>
          </w:tcPr>
          <w:p>
            <w:pPr>
              <w:widowControl/>
              <w:adjustRightInd w:val="0"/>
              <w:snapToGrid w:val="0"/>
              <w:jc w:val="center"/>
              <w:rPr>
                <w:rFonts w:hint="default" w:ascii="仿宋" w:hAnsi="仿宋" w:eastAsia="仿宋" w:cs="FangSong_GB2312"/>
                <w:kern w:val="0"/>
                <w:sz w:val="24"/>
                <w:lang w:val="en-US" w:eastAsia="zh-CN"/>
              </w:rPr>
            </w:pPr>
            <w:r>
              <w:rPr>
                <w:rFonts w:hint="eastAsia" w:ascii="仿宋" w:hAnsi="仿宋" w:eastAsia="仿宋" w:cs="FangSong_GB2312"/>
                <w:kern w:val="0"/>
                <w:sz w:val="24"/>
                <w:lang w:val="en-US" w:eastAsia="zh-CN"/>
              </w:rPr>
              <w:t>5</w:t>
            </w:r>
          </w:p>
        </w:tc>
        <w:tc>
          <w:tcPr>
            <w:tcW w:w="1230" w:type="dxa"/>
            <w:vAlign w:val="center"/>
          </w:tcPr>
          <w:p>
            <w:pPr>
              <w:widowControl/>
              <w:adjustRightInd w:val="0"/>
              <w:snapToGrid w:val="0"/>
              <w:jc w:val="center"/>
              <w:rPr>
                <w:rFonts w:hint="eastAsia" w:ascii="仿宋" w:hAnsi="仿宋" w:eastAsia="仿宋" w:cs="FangSong_GB2312"/>
                <w:kern w:val="0"/>
                <w:sz w:val="24"/>
                <w:lang w:val="en-US" w:eastAsia="zh-CN"/>
              </w:rPr>
            </w:pPr>
            <w:r>
              <w:rPr>
                <w:rFonts w:hint="eastAsia" w:ascii="仿宋" w:hAnsi="仿宋" w:eastAsia="仿宋" w:cs="FangSong_GB2312"/>
                <w:kern w:val="0"/>
                <w:sz w:val="24"/>
                <w:lang w:val="en-US" w:eastAsia="zh-CN"/>
              </w:rPr>
              <w:t>3</w:t>
            </w:r>
          </w:p>
        </w:tc>
        <w:tc>
          <w:tcPr>
            <w:tcW w:w="1200" w:type="dxa"/>
            <w:vAlign w:val="center"/>
          </w:tcPr>
          <w:p>
            <w:pPr>
              <w:widowControl/>
              <w:adjustRightInd w:val="0"/>
              <w:snapToGrid w:val="0"/>
              <w:jc w:val="center"/>
              <w:rPr>
                <w:rFonts w:hint="eastAsia" w:ascii="仿宋" w:hAnsi="仿宋" w:eastAsia="仿宋" w:cs="FangSong_GB2312"/>
                <w:kern w:val="0"/>
                <w:sz w:val="24"/>
                <w:lang w:val="en-US" w:eastAsia="zh-CN"/>
              </w:rPr>
            </w:pPr>
            <w:r>
              <w:rPr>
                <w:rFonts w:hint="eastAsia" w:ascii="仿宋" w:hAnsi="仿宋" w:eastAsia="仿宋" w:cs="FangSong_GB2312"/>
                <w:kern w:val="0"/>
                <w:sz w:val="24"/>
                <w:lang w:val="en-US" w:eastAsia="zh-CN"/>
              </w:rPr>
              <w:t>/</w:t>
            </w:r>
          </w:p>
        </w:tc>
        <w:tc>
          <w:tcPr>
            <w:tcW w:w="3822" w:type="dxa"/>
            <w:vMerge w:val="continue"/>
            <w:vAlign w:val="center"/>
          </w:tcPr>
          <w:p>
            <w:pPr>
              <w:widowControl/>
              <w:adjustRightInd w:val="0"/>
              <w:snapToGrid w:val="0"/>
              <w:jc w:val="center"/>
              <w:rPr>
                <w:rFonts w:ascii="仿宋" w:hAnsi="仿宋" w:eastAsia="仿宋" w:cs="FangSong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jc w:val="center"/>
        </w:trPr>
        <w:tc>
          <w:tcPr>
            <w:tcW w:w="1424" w:type="dxa"/>
            <w:gridSpan w:val="2"/>
            <w:vAlign w:val="center"/>
          </w:tcPr>
          <w:p>
            <w:pPr>
              <w:widowControl/>
              <w:adjustRightInd w:val="0"/>
              <w:snapToGrid w:val="0"/>
              <w:jc w:val="center"/>
              <w:rPr>
                <w:rFonts w:ascii="仿宋" w:hAnsi="仿宋" w:eastAsia="仿宋" w:cs="FangSong_GB2312"/>
                <w:kern w:val="0"/>
                <w:sz w:val="24"/>
              </w:rPr>
            </w:pPr>
            <w:r>
              <w:rPr>
                <w:rFonts w:hint="eastAsia" w:ascii="仿宋" w:hAnsi="仿宋" w:eastAsia="仿宋" w:cs="FangSong_GB2312"/>
                <w:kern w:val="0"/>
                <w:sz w:val="24"/>
              </w:rPr>
              <w:t>C类</w:t>
            </w:r>
          </w:p>
        </w:tc>
        <w:tc>
          <w:tcPr>
            <w:tcW w:w="1185" w:type="dxa"/>
            <w:vAlign w:val="center"/>
          </w:tcPr>
          <w:p>
            <w:pPr>
              <w:widowControl/>
              <w:adjustRightInd w:val="0"/>
              <w:snapToGrid w:val="0"/>
              <w:jc w:val="center"/>
              <w:rPr>
                <w:rFonts w:hint="eastAsia" w:ascii="仿宋" w:hAnsi="仿宋" w:eastAsia="仿宋" w:cs="FangSong_GB2312"/>
                <w:kern w:val="0"/>
                <w:sz w:val="24"/>
                <w:lang w:val="en-US" w:eastAsia="zh-CN"/>
              </w:rPr>
            </w:pPr>
            <w:r>
              <w:rPr>
                <w:rFonts w:hint="eastAsia" w:ascii="仿宋" w:hAnsi="仿宋" w:eastAsia="仿宋" w:cs="FangSong_GB2312"/>
                <w:kern w:val="0"/>
                <w:sz w:val="24"/>
                <w:lang w:val="en-US" w:eastAsia="zh-CN"/>
              </w:rPr>
              <w:t>4</w:t>
            </w:r>
          </w:p>
        </w:tc>
        <w:tc>
          <w:tcPr>
            <w:tcW w:w="1230" w:type="dxa"/>
            <w:vAlign w:val="center"/>
          </w:tcPr>
          <w:p>
            <w:pPr>
              <w:widowControl/>
              <w:adjustRightInd w:val="0"/>
              <w:snapToGrid w:val="0"/>
              <w:jc w:val="center"/>
              <w:rPr>
                <w:rFonts w:hint="eastAsia" w:ascii="仿宋" w:hAnsi="仿宋" w:eastAsia="仿宋" w:cs="FangSong_GB2312"/>
                <w:kern w:val="0"/>
                <w:sz w:val="24"/>
                <w:lang w:val="en-US" w:eastAsia="zh-CN"/>
              </w:rPr>
            </w:pPr>
            <w:r>
              <w:rPr>
                <w:rFonts w:hint="eastAsia" w:ascii="仿宋" w:hAnsi="仿宋" w:eastAsia="仿宋" w:cs="FangSong_GB2312"/>
                <w:kern w:val="0"/>
                <w:sz w:val="24"/>
                <w:lang w:val="en-US" w:eastAsia="zh-CN"/>
              </w:rPr>
              <w:t>2</w:t>
            </w:r>
          </w:p>
        </w:tc>
        <w:tc>
          <w:tcPr>
            <w:tcW w:w="1200" w:type="dxa"/>
            <w:vAlign w:val="center"/>
          </w:tcPr>
          <w:p>
            <w:pPr>
              <w:widowControl/>
              <w:adjustRightInd w:val="0"/>
              <w:snapToGrid w:val="0"/>
              <w:jc w:val="center"/>
              <w:rPr>
                <w:rFonts w:hint="eastAsia" w:ascii="仿宋" w:hAnsi="仿宋" w:eastAsia="仿宋" w:cs="FangSong_GB2312"/>
                <w:kern w:val="0"/>
                <w:sz w:val="24"/>
                <w:lang w:val="en-US" w:eastAsia="zh-CN"/>
              </w:rPr>
            </w:pPr>
            <w:r>
              <w:rPr>
                <w:rFonts w:hint="eastAsia" w:ascii="仿宋" w:hAnsi="仿宋" w:eastAsia="仿宋" w:cs="FangSong_GB2312"/>
                <w:kern w:val="0"/>
                <w:sz w:val="24"/>
                <w:lang w:val="en-US" w:eastAsia="zh-CN"/>
              </w:rPr>
              <w:t>/</w:t>
            </w:r>
          </w:p>
        </w:tc>
        <w:tc>
          <w:tcPr>
            <w:tcW w:w="3822" w:type="dxa"/>
            <w:vMerge w:val="continue"/>
            <w:vAlign w:val="center"/>
          </w:tcPr>
          <w:p>
            <w:pPr>
              <w:widowControl/>
              <w:adjustRightInd w:val="0"/>
              <w:snapToGrid w:val="0"/>
              <w:jc w:val="center"/>
              <w:rPr>
                <w:rFonts w:ascii="仿宋" w:hAnsi="仿宋" w:eastAsia="仿宋" w:cs="FangSong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1424" w:type="dxa"/>
            <w:gridSpan w:val="2"/>
            <w:vAlign w:val="center"/>
          </w:tcPr>
          <w:p>
            <w:pPr>
              <w:widowControl/>
              <w:adjustRightInd w:val="0"/>
              <w:snapToGrid w:val="0"/>
              <w:jc w:val="center"/>
              <w:rPr>
                <w:rFonts w:ascii="仿宋" w:hAnsi="仿宋" w:eastAsia="仿宋" w:cs="FangSong_GB2312"/>
                <w:kern w:val="0"/>
                <w:sz w:val="24"/>
                <w:highlight w:val="yellow"/>
              </w:rPr>
            </w:pPr>
            <w:r>
              <w:rPr>
                <w:rFonts w:hint="eastAsia" w:ascii="仿宋" w:hAnsi="仿宋" w:eastAsia="仿宋" w:cs="FangSong_GB2312"/>
                <w:kern w:val="0"/>
                <w:sz w:val="24"/>
              </w:rPr>
              <w:t>普通期刊</w:t>
            </w:r>
          </w:p>
        </w:tc>
        <w:tc>
          <w:tcPr>
            <w:tcW w:w="1185" w:type="dxa"/>
            <w:vAlign w:val="center"/>
          </w:tcPr>
          <w:p>
            <w:pPr>
              <w:widowControl/>
              <w:adjustRightInd w:val="0"/>
              <w:snapToGrid w:val="0"/>
              <w:jc w:val="center"/>
              <w:rPr>
                <w:rFonts w:hint="eastAsia" w:ascii="仿宋" w:hAnsi="仿宋" w:eastAsia="仿宋" w:cs="FangSong_GB2312"/>
                <w:kern w:val="0"/>
                <w:sz w:val="24"/>
                <w:highlight w:val="yellow"/>
                <w:lang w:val="en-US" w:eastAsia="zh-CN"/>
              </w:rPr>
            </w:pPr>
            <w:r>
              <w:rPr>
                <w:rFonts w:hint="eastAsia" w:ascii="仿宋" w:hAnsi="仿宋" w:eastAsia="仿宋" w:cs="FangSong_GB2312"/>
                <w:kern w:val="0"/>
                <w:sz w:val="24"/>
                <w:highlight w:val="none"/>
                <w:lang w:val="en-US" w:eastAsia="zh-CN"/>
              </w:rPr>
              <w:t>2</w:t>
            </w:r>
          </w:p>
        </w:tc>
        <w:tc>
          <w:tcPr>
            <w:tcW w:w="2430" w:type="dxa"/>
            <w:gridSpan w:val="2"/>
            <w:vAlign w:val="center"/>
          </w:tcPr>
          <w:p>
            <w:pPr>
              <w:widowControl/>
              <w:adjustRightInd w:val="0"/>
              <w:snapToGrid w:val="0"/>
              <w:jc w:val="center"/>
              <w:rPr>
                <w:rFonts w:ascii="仿宋" w:hAnsi="仿宋" w:eastAsia="仿宋" w:cs="FangSong_GB2312"/>
                <w:kern w:val="0"/>
                <w:sz w:val="24"/>
                <w:highlight w:val="yellow"/>
              </w:rPr>
            </w:pPr>
            <w:r>
              <w:rPr>
                <w:rFonts w:hint="eastAsia" w:ascii="仿宋" w:hAnsi="仿宋" w:eastAsia="仿宋" w:cs="FangSong_GB2312"/>
                <w:kern w:val="0"/>
                <w:sz w:val="24"/>
              </w:rPr>
              <w:t>限一篇</w:t>
            </w:r>
          </w:p>
        </w:tc>
        <w:tc>
          <w:tcPr>
            <w:tcW w:w="3822" w:type="dxa"/>
            <w:vMerge w:val="continue"/>
            <w:vAlign w:val="center"/>
          </w:tcPr>
          <w:p>
            <w:pPr>
              <w:widowControl/>
              <w:adjustRightInd w:val="0"/>
              <w:snapToGrid w:val="0"/>
              <w:spacing w:after="156" w:afterLines="50"/>
              <w:rPr>
                <w:rFonts w:ascii="仿宋" w:hAnsi="仿宋" w:eastAsia="仿宋" w:cs="FangSong_GB2312"/>
                <w:kern w:val="0"/>
                <w:szCs w:val="21"/>
              </w:rPr>
            </w:pPr>
          </w:p>
        </w:tc>
      </w:tr>
    </w:tbl>
    <w:p>
      <w:pPr>
        <w:widowControl/>
        <w:adjustRightInd w:val="0"/>
        <w:snapToGrid w:val="0"/>
        <w:spacing w:line="360" w:lineRule="auto"/>
        <w:ind w:firstLine="840" w:firstLineChars="300"/>
        <w:rPr>
          <w:rFonts w:hint="default" w:ascii="仿宋" w:hAnsi="仿宋" w:eastAsia="仿宋" w:cs="仿宋_GB2312"/>
          <w:color w:val="000000"/>
          <w:kern w:val="0"/>
          <w:sz w:val="28"/>
          <w:szCs w:val="28"/>
          <w:lang w:val="en-US" w:eastAsia="zh-CN"/>
        </w:rPr>
      </w:pPr>
    </w:p>
    <w:p>
      <w:pPr>
        <w:widowControl/>
        <w:adjustRightInd w:val="0"/>
        <w:snapToGrid w:val="0"/>
        <w:spacing w:line="360" w:lineRule="auto"/>
        <w:ind w:firstLine="560" w:firstLineChars="200"/>
        <w:rPr>
          <w:rFonts w:hint="eastAsia" w:ascii="仿宋" w:hAnsi="仿宋" w:eastAsia="仿宋" w:cs="仿宋_GB2312"/>
          <w:color w:val="000000"/>
          <w:kern w:val="0"/>
          <w:sz w:val="28"/>
          <w:szCs w:val="28"/>
        </w:rPr>
      </w:pPr>
    </w:p>
    <w:p>
      <w:pPr>
        <w:widowControl/>
        <w:adjustRightInd w:val="0"/>
        <w:snapToGrid w:val="0"/>
        <w:spacing w:line="360" w:lineRule="auto"/>
        <w:ind w:firstLine="560" w:firstLineChars="200"/>
        <w:rPr>
          <w:rFonts w:hint="eastAsia" w:ascii="仿宋" w:hAnsi="仿宋" w:eastAsia="仿宋" w:cs="仿宋_GB2312"/>
          <w:color w:val="000000"/>
          <w:kern w:val="0"/>
          <w:sz w:val="28"/>
          <w:szCs w:val="28"/>
        </w:rPr>
      </w:pPr>
    </w:p>
    <w:p>
      <w:pPr>
        <w:widowControl/>
        <w:adjustRightInd w:val="0"/>
        <w:snapToGrid w:val="0"/>
        <w:spacing w:line="360" w:lineRule="auto"/>
        <w:ind w:firstLine="560" w:firstLineChars="200"/>
        <w:rPr>
          <w:rFonts w:hint="eastAsia" w:ascii="仿宋" w:hAnsi="仿宋" w:eastAsia="仿宋" w:cs="仿宋_GB2312"/>
          <w:color w:val="000000"/>
          <w:kern w:val="0"/>
          <w:sz w:val="28"/>
          <w:szCs w:val="28"/>
        </w:rPr>
      </w:pPr>
    </w:p>
    <w:p>
      <w:pPr>
        <w:widowControl/>
        <w:adjustRightInd w:val="0"/>
        <w:snapToGrid w:val="0"/>
        <w:spacing w:line="360" w:lineRule="auto"/>
        <w:ind w:firstLine="560" w:firstLineChars="200"/>
        <w:rPr>
          <w:rFonts w:hint="eastAsia" w:ascii="仿宋" w:hAnsi="仿宋" w:eastAsia="仿宋" w:cs="仿宋_GB2312"/>
          <w:color w:val="000000"/>
          <w:kern w:val="0"/>
          <w:sz w:val="28"/>
          <w:szCs w:val="28"/>
        </w:rPr>
      </w:pPr>
    </w:p>
    <w:p>
      <w:pPr>
        <w:widowControl/>
        <w:adjustRightInd w:val="0"/>
        <w:snapToGrid w:val="0"/>
        <w:spacing w:line="360" w:lineRule="auto"/>
        <w:ind w:firstLine="560" w:firstLineChars="200"/>
        <w:rPr>
          <w:rFonts w:hint="eastAsia" w:ascii="仿宋" w:hAnsi="仿宋" w:eastAsia="仿宋" w:cs="仿宋_GB2312"/>
          <w:color w:val="000000"/>
          <w:kern w:val="0"/>
          <w:sz w:val="28"/>
          <w:szCs w:val="28"/>
        </w:rPr>
      </w:pPr>
    </w:p>
    <w:p>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（2）学科、创业竞赛计分如下表：</w:t>
      </w:r>
    </w:p>
    <w:tbl>
      <w:tblPr>
        <w:tblStyle w:val="10"/>
        <w:tblW w:w="88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95"/>
        <w:gridCol w:w="1178"/>
        <w:gridCol w:w="954"/>
        <w:gridCol w:w="919"/>
        <w:gridCol w:w="26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195" w:type="dxa"/>
            <w:vAlign w:val="center"/>
          </w:tcPr>
          <w:p>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等级</w:t>
            </w:r>
          </w:p>
        </w:tc>
        <w:tc>
          <w:tcPr>
            <w:tcW w:w="1178" w:type="dxa"/>
            <w:vAlign w:val="center"/>
          </w:tcPr>
          <w:p>
            <w:pPr>
              <w:widowControl/>
              <w:adjustRightInd w:val="0"/>
              <w:snapToGrid w:val="0"/>
              <w:jc w:val="center"/>
              <w:rPr>
                <w:rFonts w:ascii="仿宋" w:hAnsi="仿宋" w:eastAsia="仿宋" w:cs="仿宋_GB2312"/>
                <w:b/>
                <w:bCs/>
                <w:kern w:val="0"/>
                <w:szCs w:val="21"/>
              </w:rPr>
            </w:pPr>
            <w:r>
              <w:rPr>
                <w:rFonts w:hint="eastAsia" w:ascii="仿宋" w:hAnsi="仿宋" w:eastAsia="仿宋" w:cs="仿宋_GB2312"/>
                <w:b/>
                <w:bCs/>
                <w:kern w:val="0"/>
                <w:szCs w:val="21"/>
              </w:rPr>
              <w:t>金奖/特等奖/一等奖</w:t>
            </w:r>
          </w:p>
        </w:tc>
        <w:tc>
          <w:tcPr>
            <w:tcW w:w="954" w:type="dxa"/>
            <w:vAlign w:val="center"/>
          </w:tcPr>
          <w:p>
            <w:pPr>
              <w:widowControl/>
              <w:adjustRightInd w:val="0"/>
              <w:snapToGrid w:val="0"/>
              <w:jc w:val="center"/>
              <w:rPr>
                <w:rFonts w:ascii="仿宋" w:hAnsi="仿宋" w:eastAsia="仿宋" w:cs="仿宋_GB2312"/>
                <w:b/>
                <w:bCs/>
                <w:kern w:val="0"/>
                <w:szCs w:val="21"/>
              </w:rPr>
            </w:pPr>
            <w:r>
              <w:rPr>
                <w:rFonts w:hint="eastAsia" w:ascii="仿宋" w:hAnsi="仿宋" w:eastAsia="仿宋" w:cs="仿宋_GB2312"/>
                <w:b/>
                <w:bCs/>
                <w:kern w:val="0"/>
                <w:szCs w:val="21"/>
              </w:rPr>
              <w:t>银奖/二等奖</w:t>
            </w:r>
          </w:p>
        </w:tc>
        <w:tc>
          <w:tcPr>
            <w:tcW w:w="919" w:type="dxa"/>
            <w:vAlign w:val="center"/>
          </w:tcPr>
          <w:p>
            <w:pPr>
              <w:widowControl/>
              <w:adjustRightInd w:val="0"/>
              <w:snapToGrid w:val="0"/>
              <w:jc w:val="center"/>
              <w:rPr>
                <w:rFonts w:ascii="仿宋" w:hAnsi="仿宋" w:eastAsia="仿宋" w:cs="仿宋_GB2312"/>
                <w:b/>
                <w:bCs/>
                <w:kern w:val="0"/>
                <w:szCs w:val="21"/>
              </w:rPr>
            </w:pPr>
            <w:r>
              <w:rPr>
                <w:rFonts w:hint="eastAsia" w:ascii="仿宋" w:hAnsi="仿宋" w:eastAsia="仿宋" w:cs="仿宋_GB2312"/>
                <w:b/>
                <w:bCs/>
                <w:kern w:val="0"/>
                <w:szCs w:val="21"/>
              </w:rPr>
              <w:t>铜奖/三等奖</w:t>
            </w:r>
          </w:p>
        </w:tc>
        <w:tc>
          <w:tcPr>
            <w:tcW w:w="2626" w:type="dxa"/>
            <w:vMerge w:val="restart"/>
            <w:vAlign w:val="center"/>
          </w:tcPr>
          <w:p>
            <w:pPr>
              <w:widowControl/>
              <w:adjustRightInd w:val="0"/>
              <w:snapToGrid w:val="0"/>
              <w:spacing w:after="156" w:afterLines="50"/>
              <w:rPr>
                <w:rFonts w:ascii="仿宋" w:hAnsi="仿宋" w:eastAsia="仿宋" w:cs="仿宋_GB2312"/>
                <w:kern w:val="0"/>
                <w:sz w:val="18"/>
                <w:szCs w:val="18"/>
              </w:rPr>
            </w:pPr>
            <w:r>
              <w:rPr>
                <w:rFonts w:hint="eastAsia" w:ascii="仿宋" w:hAnsi="仿宋" w:eastAsia="仿宋" w:cs="仿宋_GB2312"/>
                <w:kern w:val="0"/>
                <w:sz w:val="18"/>
                <w:szCs w:val="18"/>
              </w:rPr>
              <w:t>1、学科竞赛、项目内容必须</w:t>
            </w:r>
            <w:r>
              <w:rPr>
                <w:rFonts w:hint="eastAsia" w:ascii="仿宋" w:hAnsi="仿宋" w:eastAsia="仿宋" w:cs="仿宋_GB2312"/>
                <w:b/>
                <w:bCs/>
                <w:kern w:val="0"/>
                <w:sz w:val="18"/>
                <w:szCs w:val="18"/>
              </w:rPr>
              <w:t>与专业密切相关</w:t>
            </w:r>
            <w:r>
              <w:rPr>
                <w:rFonts w:hint="eastAsia" w:ascii="仿宋" w:hAnsi="仿宋" w:eastAsia="仿宋" w:cs="仿宋_GB2312"/>
                <w:kern w:val="0"/>
                <w:sz w:val="18"/>
                <w:szCs w:val="18"/>
              </w:rPr>
              <w:t>，级别以《华南农业大学学生竞赛奖励办法》华南农办〔2022〕</w:t>
            </w:r>
            <w:r>
              <w:rPr>
                <w:rFonts w:hint="eastAsia" w:ascii="仿宋" w:hAnsi="仿宋" w:eastAsia="仿宋" w:cs="仿宋_GB2312"/>
                <w:szCs w:val="21"/>
              </w:rPr>
              <w:t>38号文</w:t>
            </w:r>
            <w:r>
              <w:rPr>
                <w:rFonts w:hint="eastAsia" w:ascii="仿宋" w:hAnsi="仿宋" w:eastAsia="仿宋" w:cs="仿宋_GB2312"/>
                <w:kern w:val="0"/>
                <w:sz w:val="18"/>
                <w:szCs w:val="18"/>
              </w:rPr>
              <w:t>中规定为准；分类以《学生学科竞赛级别说明》为准；</w:t>
            </w:r>
          </w:p>
          <w:p>
            <w:pPr>
              <w:widowControl/>
              <w:adjustRightInd w:val="0"/>
              <w:snapToGrid w:val="0"/>
              <w:spacing w:after="156" w:afterLines="50"/>
              <w:rPr>
                <w:rFonts w:ascii="仿宋" w:hAnsi="仿宋" w:eastAsia="仿宋" w:cs="仿宋_GB2312"/>
                <w:kern w:val="0"/>
                <w:sz w:val="18"/>
                <w:szCs w:val="18"/>
              </w:rPr>
            </w:pPr>
            <w:r>
              <w:rPr>
                <w:rFonts w:hint="eastAsia" w:ascii="仿宋" w:hAnsi="仿宋" w:eastAsia="仿宋" w:cs="仿宋_GB2312"/>
                <w:kern w:val="0"/>
                <w:sz w:val="18"/>
                <w:szCs w:val="18"/>
              </w:rPr>
              <w:t>2、个人参赛获奖的按相应级别分数加；集体参加获奖的，负责人按相应级别分数加，团队其他成员按相应级别分数的一半加；</w:t>
            </w:r>
          </w:p>
          <w:p>
            <w:pPr>
              <w:widowControl/>
              <w:adjustRightInd w:val="0"/>
              <w:snapToGrid w:val="0"/>
              <w:rPr>
                <w:rFonts w:ascii="仿宋" w:hAnsi="仿宋" w:eastAsia="仿宋" w:cs="仿宋_GB2312"/>
                <w:kern w:val="0"/>
                <w:sz w:val="18"/>
                <w:szCs w:val="18"/>
              </w:rPr>
            </w:pPr>
            <w:r>
              <w:rPr>
                <w:rFonts w:hint="eastAsia" w:ascii="仿宋" w:hAnsi="仿宋" w:eastAsia="仿宋" w:cs="仿宋_GB2312"/>
                <w:kern w:val="0"/>
                <w:sz w:val="18"/>
                <w:szCs w:val="18"/>
              </w:rPr>
              <w:t>3、同一项目获不同级别奖励，按最高分计，不累计叠加；同一类型的比赛获不同级别奖励，按最高分计，不累计叠加。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5" w:hRule="atLeast"/>
          <w:jc w:val="center"/>
        </w:trPr>
        <w:tc>
          <w:tcPr>
            <w:tcW w:w="3195"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“挑战杯”全国大学生课外学术科技作品竞赛、“挑战杯”中国大学生创业计划大赛、中国“互联网+”大学生创新创业大赛</w:t>
            </w:r>
          </w:p>
        </w:tc>
        <w:tc>
          <w:tcPr>
            <w:tcW w:w="1178"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6</w:t>
            </w:r>
          </w:p>
        </w:tc>
        <w:tc>
          <w:tcPr>
            <w:tcW w:w="954"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4</w:t>
            </w:r>
          </w:p>
        </w:tc>
        <w:tc>
          <w:tcPr>
            <w:tcW w:w="919"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3</w:t>
            </w:r>
          </w:p>
        </w:tc>
        <w:tc>
          <w:tcPr>
            <w:tcW w:w="2626" w:type="dxa"/>
            <w:vMerge w:val="continue"/>
            <w:vAlign w:val="center"/>
          </w:tcPr>
          <w:p>
            <w:pPr>
              <w:widowControl/>
              <w:adjustRightInd w:val="0"/>
              <w:snapToGrid w:val="0"/>
              <w:rPr>
                <w:rFonts w:ascii="仿宋" w:hAnsi="仿宋" w:eastAsia="仿宋" w:cs="仿宋_GB2312"/>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0" w:hRule="atLeast"/>
          <w:jc w:val="center"/>
        </w:trPr>
        <w:tc>
          <w:tcPr>
            <w:tcW w:w="3195" w:type="dxa"/>
            <w:vAlign w:val="center"/>
          </w:tcPr>
          <w:p>
            <w:pPr>
              <w:widowControl/>
              <w:adjustRightInd w:val="0"/>
              <w:snapToGrid w:val="0"/>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其他T1、T2类竞赛</w:t>
            </w:r>
          </w:p>
        </w:tc>
        <w:tc>
          <w:tcPr>
            <w:tcW w:w="1178" w:type="dxa"/>
            <w:vAlign w:val="center"/>
          </w:tcPr>
          <w:p>
            <w:pPr>
              <w:widowControl/>
              <w:adjustRightInd w:val="0"/>
              <w:snapToGrid w:val="0"/>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5</w:t>
            </w:r>
          </w:p>
        </w:tc>
        <w:tc>
          <w:tcPr>
            <w:tcW w:w="954" w:type="dxa"/>
            <w:vAlign w:val="center"/>
          </w:tcPr>
          <w:p>
            <w:pPr>
              <w:widowControl/>
              <w:adjustRightInd w:val="0"/>
              <w:snapToGrid w:val="0"/>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2.5</w:t>
            </w:r>
          </w:p>
        </w:tc>
        <w:tc>
          <w:tcPr>
            <w:tcW w:w="919" w:type="dxa"/>
            <w:vAlign w:val="center"/>
          </w:tcPr>
          <w:p>
            <w:pPr>
              <w:widowControl/>
              <w:adjustRightInd w:val="0"/>
              <w:snapToGrid w:val="0"/>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2</w:t>
            </w:r>
          </w:p>
        </w:tc>
        <w:tc>
          <w:tcPr>
            <w:tcW w:w="2626" w:type="dxa"/>
            <w:vMerge w:val="continue"/>
            <w:vAlign w:val="center"/>
          </w:tcPr>
          <w:p>
            <w:pPr>
              <w:widowControl/>
              <w:adjustRightInd w:val="0"/>
              <w:snapToGrid w:val="0"/>
              <w:rPr>
                <w:rFonts w:ascii="仿宋" w:hAnsi="仿宋" w:eastAsia="仿宋" w:cs="仿宋_GB2312"/>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0" w:hRule="atLeast"/>
          <w:jc w:val="center"/>
        </w:trPr>
        <w:tc>
          <w:tcPr>
            <w:tcW w:w="3195"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sz w:val="24"/>
              </w:rPr>
              <w:t>“挑战杯”、“挑战杯·创青春”、“互联网+”广东省赛等</w:t>
            </w:r>
            <w:r>
              <w:rPr>
                <w:rFonts w:hint="eastAsia" w:ascii="仿宋" w:hAnsi="仿宋" w:eastAsia="仿宋" w:cs="仿宋_GB2312"/>
                <w:kern w:val="0"/>
                <w:sz w:val="24"/>
              </w:rPr>
              <w:t>A类</w:t>
            </w:r>
          </w:p>
        </w:tc>
        <w:tc>
          <w:tcPr>
            <w:tcW w:w="1178" w:type="dxa"/>
            <w:vAlign w:val="center"/>
          </w:tcPr>
          <w:p>
            <w:pPr>
              <w:widowControl/>
              <w:adjustRightInd w:val="0"/>
              <w:snapToGrid w:val="0"/>
              <w:jc w:val="center"/>
              <w:rPr>
                <w:rFonts w:ascii="仿宋" w:hAnsi="仿宋" w:eastAsia="仿宋" w:cs="仿宋_GB2312"/>
                <w:kern w:val="0"/>
                <w:sz w:val="24"/>
                <w:highlight w:val="yellow"/>
              </w:rPr>
            </w:pPr>
            <w:r>
              <w:rPr>
                <w:rFonts w:hint="eastAsia" w:ascii="仿宋" w:hAnsi="仿宋" w:eastAsia="仿宋" w:cs="仿宋_GB2312"/>
                <w:kern w:val="0"/>
                <w:sz w:val="24"/>
                <w:lang w:val="en-US" w:eastAsia="zh-CN"/>
              </w:rPr>
              <w:t>4</w:t>
            </w:r>
          </w:p>
        </w:tc>
        <w:tc>
          <w:tcPr>
            <w:tcW w:w="954" w:type="dxa"/>
            <w:vAlign w:val="center"/>
          </w:tcPr>
          <w:p>
            <w:pPr>
              <w:widowControl/>
              <w:adjustRightInd w:val="0"/>
              <w:snapToGrid w:val="0"/>
              <w:jc w:val="center"/>
              <w:rPr>
                <w:rFonts w:ascii="仿宋" w:hAnsi="仿宋" w:eastAsia="仿宋" w:cs="仿宋_GB2312"/>
                <w:kern w:val="0"/>
                <w:sz w:val="24"/>
                <w:highlight w:val="yellow"/>
              </w:rPr>
            </w:pPr>
            <w:r>
              <w:rPr>
                <w:rFonts w:hint="eastAsia" w:ascii="仿宋" w:hAnsi="仿宋" w:eastAsia="仿宋" w:cs="仿宋_GB2312"/>
                <w:kern w:val="0"/>
                <w:sz w:val="24"/>
                <w:lang w:val="en-US" w:eastAsia="zh-CN"/>
              </w:rPr>
              <w:t>2</w:t>
            </w:r>
          </w:p>
        </w:tc>
        <w:tc>
          <w:tcPr>
            <w:tcW w:w="919" w:type="dxa"/>
            <w:vAlign w:val="center"/>
          </w:tcPr>
          <w:p>
            <w:pPr>
              <w:widowControl/>
              <w:adjustRightInd w:val="0"/>
              <w:snapToGrid w:val="0"/>
              <w:jc w:val="center"/>
              <w:rPr>
                <w:rFonts w:ascii="仿宋" w:hAnsi="仿宋" w:eastAsia="仿宋" w:cs="仿宋_GB2312"/>
                <w:kern w:val="0"/>
                <w:sz w:val="24"/>
                <w:highlight w:val="yellow"/>
              </w:rPr>
            </w:pPr>
            <w:r>
              <w:rPr>
                <w:rFonts w:hint="eastAsia" w:ascii="仿宋" w:hAnsi="仿宋" w:eastAsia="仿宋" w:cs="仿宋_GB2312"/>
                <w:kern w:val="0"/>
                <w:sz w:val="24"/>
                <w:lang w:val="en-US" w:eastAsia="zh-CN"/>
              </w:rPr>
              <w:t>1</w:t>
            </w:r>
          </w:p>
        </w:tc>
        <w:tc>
          <w:tcPr>
            <w:tcW w:w="2626" w:type="dxa"/>
            <w:vMerge w:val="continue"/>
            <w:vAlign w:val="center"/>
          </w:tcPr>
          <w:p>
            <w:pPr>
              <w:widowControl/>
              <w:adjustRightInd w:val="0"/>
              <w:snapToGrid w:val="0"/>
              <w:rPr>
                <w:rFonts w:ascii="仿宋" w:hAnsi="仿宋" w:eastAsia="仿宋" w:cs="仿宋_GB2312"/>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3195" w:type="dxa"/>
            <w:vAlign w:val="center"/>
          </w:tcPr>
          <w:p>
            <w:pPr>
              <w:widowControl/>
              <w:adjustRightInd w:val="0"/>
              <w:snapToGrid w:val="0"/>
              <w:jc w:val="center"/>
              <w:rPr>
                <w:rFonts w:ascii="仿宋" w:hAnsi="仿宋" w:eastAsia="仿宋" w:cs="仿宋_GB2312"/>
                <w:sz w:val="24"/>
              </w:rPr>
            </w:pPr>
            <w:r>
              <w:rPr>
                <w:rFonts w:hint="eastAsia" w:ascii="仿宋" w:hAnsi="仿宋" w:eastAsia="仿宋" w:cs="仿宋_GB2312"/>
                <w:kern w:val="0"/>
                <w:sz w:val="24"/>
              </w:rPr>
              <w:t>B类学科</w:t>
            </w:r>
            <w:r>
              <w:rPr>
                <w:rFonts w:hint="eastAsia" w:ascii="仿宋" w:hAnsi="仿宋" w:eastAsia="仿宋" w:cs="仿宋_GB2312"/>
                <w:sz w:val="24"/>
              </w:rPr>
              <w:t>竞赛</w:t>
            </w:r>
          </w:p>
        </w:tc>
        <w:tc>
          <w:tcPr>
            <w:tcW w:w="1178"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3</w:t>
            </w:r>
          </w:p>
        </w:tc>
        <w:tc>
          <w:tcPr>
            <w:tcW w:w="954"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1.5</w:t>
            </w:r>
          </w:p>
        </w:tc>
        <w:tc>
          <w:tcPr>
            <w:tcW w:w="919"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0.75</w:t>
            </w:r>
          </w:p>
        </w:tc>
        <w:tc>
          <w:tcPr>
            <w:tcW w:w="2626" w:type="dxa"/>
            <w:vMerge w:val="continue"/>
            <w:vAlign w:val="center"/>
          </w:tcPr>
          <w:p>
            <w:pPr>
              <w:widowControl/>
              <w:adjustRightInd w:val="0"/>
              <w:snapToGrid w:val="0"/>
              <w:rPr>
                <w:rFonts w:ascii="仿宋" w:hAnsi="仿宋" w:eastAsia="仿宋" w:cs="仿宋_GB2312"/>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3195"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“丁颖杯”等C类</w:t>
            </w:r>
          </w:p>
        </w:tc>
        <w:tc>
          <w:tcPr>
            <w:tcW w:w="1178"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954"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919"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0.5</w:t>
            </w:r>
          </w:p>
        </w:tc>
        <w:tc>
          <w:tcPr>
            <w:tcW w:w="2626" w:type="dxa"/>
            <w:vMerge w:val="continue"/>
            <w:vAlign w:val="center"/>
          </w:tcPr>
          <w:p>
            <w:pPr>
              <w:widowControl/>
              <w:adjustRightInd w:val="0"/>
              <w:snapToGrid w:val="0"/>
              <w:rPr>
                <w:rFonts w:ascii="仿宋" w:hAnsi="仿宋" w:eastAsia="仿宋" w:cs="仿宋_GB2312"/>
                <w:kern w:val="0"/>
                <w:sz w:val="24"/>
              </w:rPr>
            </w:pPr>
          </w:p>
        </w:tc>
      </w:tr>
    </w:tbl>
    <w:p>
      <w:pPr>
        <w:widowControl/>
        <w:adjustRightInd w:val="0"/>
        <w:snapToGrid w:val="0"/>
        <w:spacing w:line="360" w:lineRule="auto"/>
        <w:rPr>
          <w:rFonts w:ascii="仿宋" w:hAnsi="仿宋" w:eastAsia="仿宋" w:cs="仿宋_GB2312"/>
          <w:color w:val="000000"/>
          <w:kern w:val="0"/>
          <w:sz w:val="15"/>
          <w:szCs w:val="15"/>
        </w:rPr>
      </w:pPr>
      <w:r>
        <w:rPr>
          <w:rFonts w:hint="eastAsia" w:ascii="仿宋" w:hAnsi="仿宋" w:eastAsia="仿宋" w:cs="仿宋_GB2312"/>
          <w:color w:val="000000"/>
          <w:kern w:val="0"/>
          <w:sz w:val="28"/>
          <w:szCs w:val="28"/>
        </w:rPr>
        <w:t xml:space="preserve">    （3）主持</w:t>
      </w:r>
      <w:r>
        <w:rPr>
          <w:rFonts w:hint="eastAsia" w:ascii="仿宋" w:hAnsi="仿宋" w:eastAsia="仿宋" w:cs="仿宋_GB2312"/>
          <w:color w:val="000000"/>
          <w:kern w:val="0"/>
          <w:sz w:val="28"/>
          <w:szCs w:val="28"/>
          <w:lang w:val="en-US" w:eastAsia="zh-CN"/>
        </w:rPr>
        <w:t>或参与</w:t>
      </w:r>
      <w:r>
        <w:rPr>
          <w:rFonts w:hint="eastAsia" w:ascii="仿宋" w:hAnsi="仿宋" w:eastAsia="仿宋" w:cs="仿宋_GB2312"/>
          <w:color w:val="000000"/>
          <w:kern w:val="0"/>
          <w:sz w:val="28"/>
          <w:szCs w:val="28"/>
        </w:rPr>
        <w:t>校级（含）以上大学生创新创业项目等，计分如下表</w:t>
      </w:r>
      <w:r>
        <w:rPr>
          <w:rFonts w:hint="eastAsia" w:ascii="仿宋" w:hAnsi="仿宋" w:eastAsia="仿宋" w:cs="仿宋_GB2312"/>
          <w:color w:val="000000"/>
          <w:kern w:val="0"/>
          <w:sz w:val="28"/>
          <w:szCs w:val="28"/>
          <w:lang w:eastAsia="zh-CN"/>
        </w:rPr>
        <w:t>：</w:t>
      </w:r>
    </w:p>
    <w:tbl>
      <w:tblPr>
        <w:tblStyle w:val="10"/>
        <w:tblW w:w="89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8"/>
        <w:gridCol w:w="566"/>
        <w:gridCol w:w="1985"/>
        <w:gridCol w:w="713"/>
        <w:gridCol w:w="1050"/>
        <w:gridCol w:w="967"/>
        <w:gridCol w:w="30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8" w:type="dxa"/>
            <w:vMerge w:val="restart"/>
            <w:vAlign w:val="center"/>
          </w:tcPr>
          <w:p>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科研项目</w:t>
            </w:r>
          </w:p>
        </w:tc>
        <w:tc>
          <w:tcPr>
            <w:tcW w:w="2551" w:type="dxa"/>
            <w:gridSpan w:val="2"/>
            <w:vMerge w:val="restart"/>
            <w:vAlign w:val="center"/>
          </w:tcPr>
          <w:p>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级别</w:t>
            </w:r>
          </w:p>
        </w:tc>
        <w:tc>
          <w:tcPr>
            <w:tcW w:w="713" w:type="dxa"/>
            <w:vMerge w:val="restart"/>
            <w:vAlign w:val="center"/>
          </w:tcPr>
          <w:p>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主持</w:t>
            </w:r>
          </w:p>
        </w:tc>
        <w:tc>
          <w:tcPr>
            <w:tcW w:w="2017" w:type="dxa"/>
            <w:gridSpan w:val="2"/>
            <w:vAlign w:val="center"/>
          </w:tcPr>
          <w:p>
            <w:pPr>
              <w:widowControl/>
              <w:adjustRightInd w:val="0"/>
              <w:snapToGrid w:val="0"/>
              <w:spacing w:after="156" w:afterLines="50"/>
              <w:jc w:val="center"/>
              <w:rPr>
                <w:rFonts w:ascii="仿宋" w:hAnsi="仿宋" w:eastAsia="仿宋" w:cs="仿宋_GB2312"/>
                <w:kern w:val="0"/>
                <w:sz w:val="24"/>
              </w:rPr>
            </w:pPr>
            <w:r>
              <w:rPr>
                <w:rFonts w:hint="eastAsia" w:ascii="仿宋" w:hAnsi="仿宋" w:eastAsia="仿宋" w:cs="仿宋_GB2312"/>
                <w:b/>
                <w:bCs/>
                <w:kern w:val="0"/>
                <w:sz w:val="24"/>
              </w:rPr>
              <w:t>参与</w:t>
            </w:r>
          </w:p>
        </w:tc>
        <w:tc>
          <w:tcPr>
            <w:tcW w:w="3082" w:type="dxa"/>
            <w:vMerge w:val="restart"/>
            <w:vAlign w:val="center"/>
          </w:tcPr>
          <w:p>
            <w:pPr>
              <w:widowControl/>
              <w:adjustRightInd w:val="0"/>
              <w:snapToGrid w:val="0"/>
              <w:spacing w:after="156" w:afterLines="50"/>
              <w:jc w:val="left"/>
              <w:rPr>
                <w:rFonts w:ascii="仿宋" w:hAnsi="仿宋" w:eastAsia="仿宋" w:cs="仿宋_GB2312"/>
                <w:kern w:val="0"/>
                <w:sz w:val="18"/>
                <w:szCs w:val="18"/>
              </w:rPr>
            </w:pPr>
            <w:r>
              <w:rPr>
                <w:rFonts w:hint="eastAsia" w:ascii="仿宋" w:hAnsi="仿宋" w:eastAsia="仿宋" w:cs="仿宋_GB2312"/>
                <w:kern w:val="0"/>
                <w:sz w:val="18"/>
                <w:szCs w:val="18"/>
              </w:rPr>
              <w:t>1、立项在研项目可加相应级别分数的1/3，在研项目已通过中期考核可加相应级别分数的2/3，项目顺利结题可加相应级别全部分数；</w:t>
            </w:r>
          </w:p>
          <w:p>
            <w:pPr>
              <w:widowControl/>
              <w:adjustRightInd w:val="0"/>
              <w:snapToGrid w:val="0"/>
              <w:spacing w:after="156" w:afterLines="50"/>
              <w:jc w:val="left"/>
              <w:rPr>
                <w:rFonts w:ascii="仿宋" w:hAnsi="仿宋" w:eastAsia="仿宋" w:cs="仿宋_GB2312"/>
                <w:kern w:val="0"/>
                <w:sz w:val="18"/>
                <w:szCs w:val="18"/>
              </w:rPr>
            </w:pPr>
            <w:r>
              <w:rPr>
                <w:rFonts w:hint="eastAsia" w:ascii="仿宋" w:hAnsi="仿宋" w:eastAsia="仿宋" w:cs="仿宋_GB2312"/>
                <w:kern w:val="0"/>
                <w:sz w:val="18"/>
                <w:szCs w:val="18"/>
              </w:rPr>
              <w:t>2、中期考核不合格的、非科研客观情况导致项目延期的不加分；</w:t>
            </w:r>
          </w:p>
          <w:p>
            <w:pPr>
              <w:widowControl/>
              <w:adjustRightInd w:val="0"/>
              <w:snapToGrid w:val="0"/>
              <w:spacing w:after="156" w:afterLines="50"/>
              <w:jc w:val="left"/>
              <w:rPr>
                <w:rFonts w:ascii="仿宋" w:hAnsi="仿宋" w:eastAsia="仿宋" w:cs="仿宋_GB2312"/>
                <w:kern w:val="0"/>
                <w:sz w:val="18"/>
                <w:szCs w:val="18"/>
              </w:rPr>
            </w:pPr>
            <w:r>
              <w:rPr>
                <w:rFonts w:hint="eastAsia" w:ascii="仿宋" w:hAnsi="仿宋" w:eastAsia="仿宋" w:cs="仿宋_GB2312"/>
                <w:kern w:val="0"/>
                <w:sz w:val="18"/>
                <w:szCs w:val="18"/>
              </w:rPr>
              <w:t>3、非科研客观情况导致项目终止或终期考核不合格、未通过验收者，取消保研面试资格；</w:t>
            </w:r>
          </w:p>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4、主持人和参与人需接受项目指导老师考核和评价，合格及以上方可按相应级别和分数加，如指导老师考核和评价为不合格，取消加分资格。</w:t>
            </w:r>
          </w:p>
          <w:p>
            <w:pPr>
              <w:widowControl/>
              <w:adjustRightInd w:val="0"/>
              <w:snapToGrid w:val="0"/>
              <w:jc w:val="left"/>
              <w:rPr>
                <w:rFonts w:ascii="仿宋" w:hAnsi="仿宋" w:eastAsia="仿宋" w:cs="仿宋_GB2312"/>
                <w:kern w:val="0"/>
                <w:sz w:val="18"/>
                <w:szCs w:val="18"/>
              </w:rPr>
            </w:pPr>
          </w:p>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5.校级项目需为华南农业大学立项项目，其他不予认可。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568" w:type="dxa"/>
            <w:vMerge w:val="continue"/>
            <w:vAlign w:val="center"/>
          </w:tcPr>
          <w:p>
            <w:pPr>
              <w:widowControl/>
              <w:adjustRightInd w:val="0"/>
              <w:snapToGrid w:val="0"/>
              <w:jc w:val="center"/>
              <w:rPr>
                <w:rFonts w:ascii="仿宋" w:hAnsi="仿宋" w:eastAsia="仿宋" w:cs="仿宋_GB2312"/>
                <w:b/>
                <w:bCs/>
                <w:kern w:val="0"/>
                <w:sz w:val="24"/>
              </w:rPr>
            </w:pPr>
          </w:p>
        </w:tc>
        <w:tc>
          <w:tcPr>
            <w:tcW w:w="2551" w:type="dxa"/>
            <w:gridSpan w:val="2"/>
            <w:vMerge w:val="continue"/>
            <w:vAlign w:val="center"/>
          </w:tcPr>
          <w:p>
            <w:pPr>
              <w:widowControl/>
              <w:adjustRightInd w:val="0"/>
              <w:snapToGrid w:val="0"/>
              <w:jc w:val="center"/>
              <w:rPr>
                <w:rFonts w:ascii="仿宋" w:hAnsi="仿宋" w:eastAsia="仿宋" w:cs="仿宋_GB2312"/>
                <w:b/>
                <w:bCs/>
                <w:kern w:val="0"/>
                <w:sz w:val="24"/>
              </w:rPr>
            </w:pPr>
          </w:p>
        </w:tc>
        <w:tc>
          <w:tcPr>
            <w:tcW w:w="713" w:type="dxa"/>
            <w:vMerge w:val="continue"/>
            <w:vAlign w:val="center"/>
          </w:tcPr>
          <w:p>
            <w:pPr>
              <w:widowControl/>
              <w:adjustRightInd w:val="0"/>
              <w:snapToGrid w:val="0"/>
              <w:jc w:val="center"/>
              <w:rPr>
                <w:rFonts w:ascii="仿宋" w:hAnsi="仿宋" w:eastAsia="仿宋" w:cs="仿宋_GB2312"/>
                <w:b/>
                <w:bCs/>
                <w:kern w:val="0"/>
                <w:sz w:val="24"/>
              </w:rPr>
            </w:pPr>
          </w:p>
        </w:tc>
        <w:tc>
          <w:tcPr>
            <w:tcW w:w="1050" w:type="dxa"/>
            <w:vAlign w:val="center"/>
          </w:tcPr>
          <w:p>
            <w:pPr>
              <w:widowControl/>
              <w:adjustRightInd w:val="0"/>
              <w:snapToGrid w:val="0"/>
              <w:jc w:val="center"/>
              <w:rPr>
                <w:rFonts w:ascii="仿宋" w:hAnsi="仿宋" w:eastAsia="仿宋" w:cs="仿宋_GB2312"/>
                <w:b/>
                <w:bCs/>
                <w:kern w:val="0"/>
                <w:szCs w:val="21"/>
              </w:rPr>
            </w:pPr>
            <w:r>
              <w:rPr>
                <w:rFonts w:hint="eastAsia" w:ascii="仿宋" w:hAnsi="仿宋" w:eastAsia="仿宋" w:cs="仿宋_GB2312"/>
                <w:b/>
                <w:bCs/>
                <w:kern w:val="0"/>
                <w:szCs w:val="21"/>
              </w:rPr>
              <w:t>排第2、3</w:t>
            </w:r>
          </w:p>
        </w:tc>
        <w:tc>
          <w:tcPr>
            <w:tcW w:w="967" w:type="dxa"/>
          </w:tcPr>
          <w:p>
            <w:pPr>
              <w:widowControl/>
              <w:adjustRightInd w:val="0"/>
              <w:snapToGrid w:val="0"/>
              <w:spacing w:after="156" w:afterLines="50"/>
              <w:jc w:val="left"/>
              <w:rPr>
                <w:rFonts w:ascii="仿宋" w:hAnsi="仿宋" w:eastAsia="仿宋" w:cs="仿宋_GB2312"/>
                <w:kern w:val="0"/>
                <w:szCs w:val="21"/>
              </w:rPr>
            </w:pPr>
            <w:r>
              <w:rPr>
                <w:rFonts w:hint="eastAsia" w:ascii="仿宋" w:hAnsi="仿宋" w:eastAsia="仿宋" w:cs="仿宋_GB2312"/>
                <w:b/>
                <w:bCs/>
                <w:kern w:val="0"/>
                <w:szCs w:val="21"/>
              </w:rPr>
              <w:t>排第</w:t>
            </w:r>
            <w:r>
              <w:rPr>
                <w:rFonts w:ascii="仿宋" w:hAnsi="仿宋" w:eastAsia="仿宋" w:cs="仿宋_GB2312"/>
                <w:b/>
                <w:bCs/>
                <w:kern w:val="0"/>
                <w:szCs w:val="21"/>
              </w:rPr>
              <w:t>4</w:t>
            </w:r>
            <w:r>
              <w:rPr>
                <w:rFonts w:hint="eastAsia" w:ascii="仿宋" w:hAnsi="仿宋" w:eastAsia="仿宋" w:cs="仿宋_GB2312"/>
                <w:b/>
                <w:bCs/>
                <w:kern w:val="0"/>
                <w:szCs w:val="21"/>
              </w:rPr>
              <w:t>及之后</w:t>
            </w:r>
          </w:p>
        </w:tc>
        <w:tc>
          <w:tcPr>
            <w:tcW w:w="3082" w:type="dxa"/>
            <w:vMerge w:val="continue"/>
            <w:vAlign w:val="center"/>
          </w:tcPr>
          <w:p>
            <w:pPr>
              <w:widowControl/>
              <w:adjustRightInd w:val="0"/>
              <w:snapToGrid w:val="0"/>
              <w:spacing w:after="156" w:afterLines="50"/>
              <w:jc w:val="left"/>
              <w:rPr>
                <w:rFonts w:ascii="仿宋" w:hAnsi="仿宋" w:eastAsia="仿宋" w:cs="仿宋_GB2312"/>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8" w:type="dxa"/>
            <w:vMerge w:val="continue"/>
            <w:vAlign w:val="center"/>
          </w:tcPr>
          <w:p>
            <w:pPr>
              <w:widowControl/>
              <w:adjustRightInd w:val="0"/>
              <w:snapToGrid w:val="0"/>
              <w:jc w:val="center"/>
              <w:rPr>
                <w:rFonts w:ascii="仿宋" w:hAnsi="仿宋" w:eastAsia="仿宋" w:cs="仿宋_GB2312"/>
                <w:kern w:val="0"/>
                <w:sz w:val="24"/>
              </w:rPr>
            </w:pPr>
          </w:p>
        </w:tc>
        <w:tc>
          <w:tcPr>
            <w:tcW w:w="2551" w:type="dxa"/>
            <w:gridSpan w:val="2"/>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广东大学生科技创新培育专项（攀登计划）</w:t>
            </w:r>
          </w:p>
        </w:tc>
        <w:tc>
          <w:tcPr>
            <w:tcW w:w="713"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4</w:t>
            </w:r>
          </w:p>
        </w:tc>
        <w:tc>
          <w:tcPr>
            <w:tcW w:w="1050"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2</w:t>
            </w:r>
          </w:p>
        </w:tc>
        <w:tc>
          <w:tcPr>
            <w:tcW w:w="967"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1</w:t>
            </w:r>
          </w:p>
        </w:tc>
        <w:tc>
          <w:tcPr>
            <w:tcW w:w="3082" w:type="dxa"/>
            <w:vMerge w:val="continue"/>
            <w:vAlign w:val="center"/>
          </w:tcPr>
          <w:p>
            <w:pPr>
              <w:widowControl/>
              <w:adjustRightInd w:val="0"/>
              <w:snapToGrid w:val="0"/>
              <w:jc w:val="center"/>
              <w:rPr>
                <w:rFonts w:ascii="仿宋" w:hAnsi="仿宋" w:eastAsia="仿宋" w:cs="仿宋_GB2312"/>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568" w:type="dxa"/>
            <w:vMerge w:val="continue"/>
            <w:vAlign w:val="center"/>
          </w:tcPr>
          <w:p>
            <w:pPr>
              <w:widowControl/>
              <w:adjustRightInd w:val="0"/>
              <w:snapToGrid w:val="0"/>
              <w:jc w:val="center"/>
              <w:rPr>
                <w:rFonts w:ascii="仿宋" w:hAnsi="仿宋" w:eastAsia="仿宋" w:cs="仿宋_GB2312"/>
                <w:kern w:val="0"/>
                <w:sz w:val="24"/>
              </w:rPr>
            </w:pPr>
          </w:p>
        </w:tc>
        <w:tc>
          <w:tcPr>
            <w:tcW w:w="566" w:type="dxa"/>
            <w:vMerge w:val="restart"/>
            <w:vAlign w:val="center"/>
          </w:tcPr>
          <w:p>
            <w:pPr>
              <w:widowControl/>
              <w:adjustRightInd w:val="0"/>
              <w:snapToGrid w:val="0"/>
              <w:jc w:val="left"/>
              <w:rPr>
                <w:rFonts w:ascii="仿宋" w:hAnsi="仿宋" w:eastAsia="仿宋" w:cs="仿宋_GB2312"/>
                <w:kern w:val="0"/>
                <w:sz w:val="24"/>
              </w:rPr>
            </w:pPr>
            <w:r>
              <w:rPr>
                <w:rFonts w:hint="eastAsia" w:ascii="仿宋" w:hAnsi="仿宋" w:eastAsia="仿宋" w:cs="仿宋_GB2312"/>
                <w:kern w:val="0"/>
                <w:sz w:val="24"/>
              </w:rPr>
              <w:t>大创</w:t>
            </w:r>
          </w:p>
        </w:tc>
        <w:tc>
          <w:tcPr>
            <w:tcW w:w="1985"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国家级</w:t>
            </w:r>
          </w:p>
        </w:tc>
        <w:tc>
          <w:tcPr>
            <w:tcW w:w="713"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3</w:t>
            </w:r>
          </w:p>
        </w:tc>
        <w:tc>
          <w:tcPr>
            <w:tcW w:w="1050"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1.5</w:t>
            </w:r>
          </w:p>
        </w:tc>
        <w:tc>
          <w:tcPr>
            <w:tcW w:w="967"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1</w:t>
            </w:r>
          </w:p>
        </w:tc>
        <w:tc>
          <w:tcPr>
            <w:tcW w:w="3082" w:type="dxa"/>
            <w:vMerge w:val="continue"/>
            <w:vAlign w:val="center"/>
          </w:tcPr>
          <w:p>
            <w:pPr>
              <w:widowControl/>
              <w:adjustRightInd w:val="0"/>
              <w:snapToGrid w:val="0"/>
              <w:jc w:val="center"/>
              <w:rPr>
                <w:rFonts w:ascii="仿宋" w:hAnsi="仿宋" w:eastAsia="仿宋" w:cs="仿宋_GB2312"/>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568" w:type="dxa"/>
            <w:vMerge w:val="continue"/>
            <w:vAlign w:val="center"/>
          </w:tcPr>
          <w:p>
            <w:pPr>
              <w:widowControl/>
              <w:adjustRightInd w:val="0"/>
              <w:snapToGrid w:val="0"/>
              <w:jc w:val="center"/>
              <w:rPr>
                <w:rFonts w:ascii="仿宋" w:hAnsi="仿宋" w:eastAsia="仿宋" w:cs="仿宋_GB2312"/>
                <w:kern w:val="0"/>
                <w:sz w:val="24"/>
              </w:rPr>
            </w:pPr>
          </w:p>
        </w:tc>
        <w:tc>
          <w:tcPr>
            <w:tcW w:w="566" w:type="dxa"/>
            <w:vMerge w:val="continue"/>
            <w:vAlign w:val="center"/>
          </w:tcPr>
          <w:p>
            <w:pPr>
              <w:widowControl/>
              <w:adjustRightInd w:val="0"/>
              <w:snapToGrid w:val="0"/>
              <w:jc w:val="center"/>
              <w:rPr>
                <w:rFonts w:ascii="仿宋" w:hAnsi="仿宋" w:eastAsia="仿宋" w:cs="仿宋_GB2312"/>
                <w:kern w:val="0"/>
                <w:sz w:val="24"/>
              </w:rPr>
            </w:pPr>
          </w:p>
        </w:tc>
        <w:tc>
          <w:tcPr>
            <w:tcW w:w="1985"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省级</w:t>
            </w:r>
          </w:p>
        </w:tc>
        <w:tc>
          <w:tcPr>
            <w:tcW w:w="713"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2</w:t>
            </w:r>
          </w:p>
        </w:tc>
        <w:tc>
          <w:tcPr>
            <w:tcW w:w="1050"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1</w:t>
            </w:r>
          </w:p>
        </w:tc>
        <w:tc>
          <w:tcPr>
            <w:tcW w:w="967"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w:t>
            </w:r>
            <w:r>
              <w:rPr>
                <w:rFonts w:ascii="仿宋" w:hAnsi="仿宋" w:eastAsia="仿宋" w:cs="仿宋_GB2312"/>
                <w:kern w:val="0"/>
                <w:sz w:val="24"/>
              </w:rPr>
              <w:t>.75</w:t>
            </w:r>
          </w:p>
        </w:tc>
        <w:tc>
          <w:tcPr>
            <w:tcW w:w="3082" w:type="dxa"/>
            <w:vMerge w:val="continue"/>
            <w:vAlign w:val="center"/>
          </w:tcPr>
          <w:p>
            <w:pPr>
              <w:widowControl/>
              <w:adjustRightInd w:val="0"/>
              <w:snapToGrid w:val="0"/>
              <w:jc w:val="center"/>
              <w:rPr>
                <w:rFonts w:ascii="仿宋" w:hAnsi="仿宋" w:eastAsia="仿宋" w:cs="仿宋_GB2312"/>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568" w:type="dxa"/>
            <w:vMerge w:val="continue"/>
            <w:vAlign w:val="center"/>
          </w:tcPr>
          <w:p>
            <w:pPr>
              <w:widowControl/>
              <w:adjustRightInd w:val="0"/>
              <w:snapToGrid w:val="0"/>
              <w:jc w:val="center"/>
              <w:rPr>
                <w:rFonts w:ascii="仿宋" w:hAnsi="仿宋" w:eastAsia="仿宋" w:cs="仿宋_GB2312"/>
                <w:kern w:val="0"/>
                <w:sz w:val="24"/>
              </w:rPr>
            </w:pPr>
          </w:p>
        </w:tc>
        <w:tc>
          <w:tcPr>
            <w:tcW w:w="566" w:type="dxa"/>
            <w:vMerge w:val="continue"/>
            <w:vAlign w:val="center"/>
          </w:tcPr>
          <w:p>
            <w:pPr>
              <w:widowControl/>
              <w:adjustRightInd w:val="0"/>
              <w:snapToGrid w:val="0"/>
              <w:jc w:val="center"/>
              <w:rPr>
                <w:rFonts w:ascii="仿宋" w:hAnsi="仿宋" w:eastAsia="仿宋" w:cs="仿宋_GB2312"/>
                <w:kern w:val="0"/>
                <w:sz w:val="24"/>
              </w:rPr>
            </w:pPr>
          </w:p>
        </w:tc>
        <w:tc>
          <w:tcPr>
            <w:tcW w:w="1985"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校级</w:t>
            </w:r>
          </w:p>
        </w:tc>
        <w:tc>
          <w:tcPr>
            <w:tcW w:w="713"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1.5</w:t>
            </w:r>
          </w:p>
        </w:tc>
        <w:tc>
          <w:tcPr>
            <w:tcW w:w="1050"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0.75</w:t>
            </w:r>
          </w:p>
        </w:tc>
        <w:tc>
          <w:tcPr>
            <w:tcW w:w="967"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w:t>
            </w:r>
            <w:r>
              <w:rPr>
                <w:rFonts w:ascii="仿宋" w:hAnsi="仿宋" w:eastAsia="仿宋" w:cs="仿宋_GB2312"/>
                <w:kern w:val="0"/>
                <w:sz w:val="24"/>
              </w:rPr>
              <w:t>.5</w:t>
            </w:r>
          </w:p>
        </w:tc>
        <w:tc>
          <w:tcPr>
            <w:tcW w:w="3082" w:type="dxa"/>
            <w:vMerge w:val="continue"/>
            <w:vAlign w:val="center"/>
          </w:tcPr>
          <w:p>
            <w:pPr>
              <w:widowControl/>
              <w:adjustRightInd w:val="0"/>
              <w:snapToGrid w:val="0"/>
              <w:jc w:val="center"/>
              <w:rPr>
                <w:rFonts w:ascii="仿宋" w:hAnsi="仿宋" w:eastAsia="仿宋" w:cs="仿宋_GB2312"/>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2" w:hRule="atLeast"/>
          <w:jc w:val="center"/>
        </w:trPr>
        <w:tc>
          <w:tcPr>
            <w:tcW w:w="568" w:type="dxa"/>
            <w:vMerge w:val="continue"/>
            <w:vAlign w:val="center"/>
          </w:tcPr>
          <w:p>
            <w:pPr>
              <w:widowControl/>
              <w:adjustRightInd w:val="0"/>
              <w:snapToGrid w:val="0"/>
              <w:jc w:val="center"/>
              <w:rPr>
                <w:rFonts w:ascii="仿宋" w:hAnsi="仿宋" w:eastAsia="仿宋" w:cs="仿宋_GB2312"/>
                <w:kern w:val="0"/>
                <w:sz w:val="24"/>
              </w:rPr>
            </w:pPr>
          </w:p>
        </w:tc>
        <w:tc>
          <w:tcPr>
            <w:tcW w:w="2551" w:type="dxa"/>
            <w:gridSpan w:val="2"/>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学校“创新梦工场”大学生创新引领计划</w:t>
            </w:r>
          </w:p>
        </w:tc>
        <w:tc>
          <w:tcPr>
            <w:tcW w:w="713"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1.5</w:t>
            </w:r>
          </w:p>
        </w:tc>
        <w:tc>
          <w:tcPr>
            <w:tcW w:w="1050"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0.75</w:t>
            </w:r>
          </w:p>
        </w:tc>
        <w:tc>
          <w:tcPr>
            <w:tcW w:w="967"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w:t>
            </w:r>
            <w:r>
              <w:rPr>
                <w:rFonts w:ascii="仿宋" w:hAnsi="仿宋" w:eastAsia="仿宋" w:cs="仿宋_GB2312"/>
                <w:kern w:val="0"/>
                <w:sz w:val="24"/>
              </w:rPr>
              <w:t>.5</w:t>
            </w:r>
          </w:p>
        </w:tc>
        <w:tc>
          <w:tcPr>
            <w:tcW w:w="3082" w:type="dxa"/>
            <w:vMerge w:val="continue"/>
            <w:vAlign w:val="center"/>
          </w:tcPr>
          <w:p>
            <w:pPr>
              <w:widowControl/>
              <w:adjustRightInd w:val="0"/>
              <w:snapToGrid w:val="0"/>
              <w:jc w:val="center"/>
              <w:rPr>
                <w:rFonts w:ascii="仿宋" w:hAnsi="仿宋" w:eastAsia="仿宋" w:cs="仿宋_GB2312"/>
                <w:kern w:val="0"/>
                <w:sz w:val="28"/>
                <w:szCs w:val="28"/>
              </w:rPr>
            </w:pPr>
          </w:p>
        </w:tc>
      </w:tr>
    </w:tbl>
    <w:p>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（4）专利等成果计分</w:t>
      </w:r>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3243"/>
        <w:gridCol w:w="867"/>
        <w:gridCol w:w="851"/>
        <w:gridCol w:w="851"/>
        <w:gridCol w:w="26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其他科研成果</w:t>
            </w:r>
          </w:p>
        </w:tc>
        <w:tc>
          <w:tcPr>
            <w:tcW w:w="3243" w:type="dxa"/>
            <w:vMerge w:val="restart"/>
            <w:vAlign w:val="center"/>
          </w:tcPr>
          <w:p>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类型</w:t>
            </w:r>
          </w:p>
        </w:tc>
        <w:tc>
          <w:tcPr>
            <w:tcW w:w="2569" w:type="dxa"/>
            <w:gridSpan w:val="3"/>
            <w:vAlign w:val="center"/>
          </w:tcPr>
          <w:p>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除第一指导老师外的排名</w:t>
            </w:r>
          </w:p>
        </w:tc>
        <w:tc>
          <w:tcPr>
            <w:tcW w:w="2694" w:type="dxa"/>
            <w:vMerge w:val="restart"/>
            <w:vAlign w:val="center"/>
          </w:tcPr>
          <w:p>
            <w:pPr>
              <w:adjustRightInd w:val="0"/>
              <w:snapToGrid w:val="0"/>
              <w:rPr>
                <w:rFonts w:ascii="仿宋" w:hAnsi="仿宋" w:eastAsia="仿宋" w:cs="仿宋_GB2312"/>
                <w:kern w:val="0"/>
                <w:szCs w:val="21"/>
              </w:rPr>
            </w:pPr>
            <w:r>
              <w:rPr>
                <w:rFonts w:hint="eastAsia" w:ascii="仿宋" w:hAnsi="仿宋" w:eastAsia="仿宋" w:cs="仿宋_GB2312"/>
                <w:kern w:val="0"/>
                <w:szCs w:val="21"/>
              </w:rPr>
              <w:t>1、所获得的专利必须</w:t>
            </w:r>
            <w:r>
              <w:rPr>
                <w:rFonts w:hint="eastAsia" w:ascii="仿宋" w:hAnsi="仿宋" w:eastAsia="仿宋" w:cs="仿宋_GB2312"/>
                <w:b/>
                <w:bCs/>
                <w:kern w:val="0"/>
                <w:szCs w:val="21"/>
              </w:rPr>
              <w:t>与本专业相关</w:t>
            </w:r>
            <w:r>
              <w:rPr>
                <w:rFonts w:hint="eastAsia" w:ascii="仿宋" w:hAnsi="仿宋" w:eastAsia="仿宋" w:cs="仿宋_GB2312"/>
                <w:kern w:val="0"/>
                <w:szCs w:val="21"/>
              </w:rPr>
              <w:t>，其他不予加分；</w:t>
            </w:r>
          </w:p>
          <w:p>
            <w:pPr>
              <w:adjustRightInd w:val="0"/>
              <w:snapToGrid w:val="0"/>
              <w:rPr>
                <w:rFonts w:ascii="仿宋" w:hAnsi="仿宋" w:eastAsia="仿宋" w:cs="仿宋_GB2312"/>
                <w:kern w:val="0"/>
                <w:szCs w:val="21"/>
              </w:rPr>
            </w:pPr>
            <w:r>
              <w:rPr>
                <w:rFonts w:hint="eastAsia" w:ascii="仿宋" w:hAnsi="仿宋" w:eastAsia="仿宋" w:cs="仿宋_GB2312"/>
                <w:kern w:val="0"/>
                <w:szCs w:val="21"/>
              </w:rPr>
              <w:t>2、文件以外的</w:t>
            </w:r>
            <w:r>
              <w:rPr>
                <w:rFonts w:hint="eastAsia" w:ascii="仿宋" w:hAnsi="仿宋" w:eastAsia="仿宋" w:cs="仿宋_GB2312"/>
                <w:b/>
                <w:bCs/>
                <w:kern w:val="0"/>
                <w:szCs w:val="21"/>
              </w:rPr>
              <w:t>与专业相关</w:t>
            </w:r>
            <w:r>
              <w:rPr>
                <w:rFonts w:hint="eastAsia" w:ascii="仿宋" w:hAnsi="仿宋" w:eastAsia="仿宋" w:cs="仿宋_GB2312"/>
                <w:kern w:val="0"/>
                <w:szCs w:val="21"/>
              </w:rPr>
              <w:t>的其他科研成果可以提出书面申请，由学院讨论确定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jc w:val="center"/>
              <w:rPr>
                <w:rFonts w:ascii="仿宋" w:hAnsi="仿宋" w:eastAsia="仿宋" w:cs="仿宋_GB2312"/>
                <w:kern w:val="0"/>
                <w:sz w:val="24"/>
              </w:rPr>
            </w:pPr>
          </w:p>
        </w:tc>
        <w:tc>
          <w:tcPr>
            <w:tcW w:w="3243" w:type="dxa"/>
            <w:vMerge w:val="continue"/>
            <w:vAlign w:val="center"/>
          </w:tcPr>
          <w:p>
            <w:pPr>
              <w:widowControl/>
              <w:adjustRightInd w:val="0"/>
              <w:snapToGrid w:val="0"/>
              <w:jc w:val="center"/>
              <w:rPr>
                <w:rFonts w:ascii="仿宋" w:hAnsi="仿宋" w:eastAsia="仿宋" w:cs="仿宋_GB2312"/>
                <w:kern w:val="0"/>
                <w:sz w:val="24"/>
              </w:rPr>
            </w:pPr>
          </w:p>
        </w:tc>
        <w:tc>
          <w:tcPr>
            <w:tcW w:w="867"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851"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851"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3</w:t>
            </w:r>
          </w:p>
        </w:tc>
        <w:tc>
          <w:tcPr>
            <w:tcW w:w="2694" w:type="dxa"/>
            <w:vMerge w:val="continue"/>
            <w:vAlign w:val="center"/>
          </w:tcPr>
          <w:p>
            <w:pPr>
              <w:adjustRightInd w:val="0"/>
              <w:snapToGrid w:val="0"/>
              <w:rPr>
                <w:rFonts w:ascii="仿宋" w:hAnsi="仿宋" w:eastAsia="仿宋" w:cs="仿宋_GB2312"/>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9" w:type="dxa"/>
            <w:vMerge w:val="continue"/>
            <w:vAlign w:val="center"/>
          </w:tcPr>
          <w:p>
            <w:pPr>
              <w:widowControl/>
              <w:adjustRightInd w:val="0"/>
              <w:snapToGrid w:val="0"/>
              <w:jc w:val="center"/>
              <w:rPr>
                <w:rFonts w:ascii="仿宋" w:hAnsi="仿宋" w:eastAsia="仿宋" w:cs="仿宋_GB2312"/>
                <w:kern w:val="0"/>
                <w:sz w:val="24"/>
              </w:rPr>
            </w:pPr>
          </w:p>
        </w:tc>
        <w:tc>
          <w:tcPr>
            <w:tcW w:w="3243" w:type="dxa"/>
            <w:vAlign w:val="center"/>
          </w:tcPr>
          <w:p>
            <w:pPr>
              <w:widowControl/>
              <w:adjustRightInd w:val="0"/>
              <w:snapToGrid w:val="0"/>
              <w:ind w:left="-27" w:leftChars="-13"/>
              <w:jc w:val="center"/>
              <w:rPr>
                <w:rFonts w:ascii="仿宋" w:hAnsi="仿宋" w:eastAsia="仿宋" w:cs="仿宋_GB2312"/>
                <w:kern w:val="0"/>
                <w:sz w:val="24"/>
              </w:rPr>
            </w:pPr>
            <w:r>
              <w:rPr>
                <w:rFonts w:hint="eastAsia" w:ascii="仿宋" w:hAnsi="仿宋" w:eastAsia="仿宋" w:cs="仿宋_GB2312"/>
                <w:kern w:val="0"/>
                <w:sz w:val="24"/>
              </w:rPr>
              <w:t>发明专利已授权</w:t>
            </w:r>
          </w:p>
        </w:tc>
        <w:tc>
          <w:tcPr>
            <w:tcW w:w="867"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2</w:t>
            </w:r>
          </w:p>
        </w:tc>
        <w:tc>
          <w:tcPr>
            <w:tcW w:w="851"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1</w:t>
            </w:r>
          </w:p>
        </w:tc>
        <w:tc>
          <w:tcPr>
            <w:tcW w:w="851"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0.5</w:t>
            </w:r>
          </w:p>
        </w:tc>
        <w:tc>
          <w:tcPr>
            <w:tcW w:w="2694" w:type="dxa"/>
            <w:vMerge w:val="continue"/>
            <w:vAlign w:val="center"/>
          </w:tcPr>
          <w:p>
            <w:pPr>
              <w:widowControl/>
              <w:adjustRightInd w:val="0"/>
              <w:snapToGrid w:val="0"/>
              <w:rPr>
                <w:rFonts w:ascii="仿宋" w:hAnsi="仿宋" w:eastAsia="仿宋" w:cs="仿宋_GB2312"/>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9" w:type="dxa"/>
            <w:vMerge w:val="continue"/>
            <w:vAlign w:val="center"/>
          </w:tcPr>
          <w:p>
            <w:pPr>
              <w:widowControl/>
              <w:adjustRightInd w:val="0"/>
              <w:snapToGrid w:val="0"/>
              <w:jc w:val="center"/>
              <w:rPr>
                <w:rFonts w:ascii="仿宋" w:hAnsi="仿宋" w:eastAsia="仿宋" w:cs="仿宋_GB2312"/>
                <w:kern w:val="0"/>
                <w:sz w:val="24"/>
              </w:rPr>
            </w:pPr>
          </w:p>
        </w:tc>
        <w:tc>
          <w:tcPr>
            <w:tcW w:w="3243" w:type="dxa"/>
            <w:vAlign w:val="center"/>
          </w:tcPr>
          <w:p>
            <w:pPr>
              <w:widowControl/>
              <w:adjustRightInd w:val="0"/>
              <w:snapToGrid w:val="0"/>
              <w:ind w:left="-27" w:leftChars="-13"/>
              <w:jc w:val="center"/>
              <w:rPr>
                <w:rFonts w:ascii="仿宋" w:hAnsi="仿宋" w:eastAsia="仿宋" w:cs="仿宋_GB2312"/>
                <w:kern w:val="0"/>
                <w:sz w:val="24"/>
              </w:rPr>
            </w:pPr>
            <w:r>
              <w:rPr>
                <w:rFonts w:hint="eastAsia" w:ascii="仿宋" w:hAnsi="仿宋" w:eastAsia="仿宋" w:cs="仿宋_GB2312"/>
                <w:kern w:val="0"/>
                <w:sz w:val="24"/>
              </w:rPr>
              <w:t>实用新型专利已授权</w:t>
            </w:r>
          </w:p>
        </w:tc>
        <w:tc>
          <w:tcPr>
            <w:tcW w:w="867"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851"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851"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0.5</w:t>
            </w:r>
          </w:p>
        </w:tc>
        <w:tc>
          <w:tcPr>
            <w:tcW w:w="2694" w:type="dxa"/>
            <w:vMerge w:val="continue"/>
          </w:tcPr>
          <w:p>
            <w:pPr>
              <w:widowControl/>
              <w:adjustRightInd w:val="0"/>
              <w:snapToGrid w:val="0"/>
              <w:rPr>
                <w:rFonts w:ascii="仿宋" w:hAnsi="仿宋" w:eastAsia="仿宋" w:cs="仿宋_GB2312"/>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9" w:type="dxa"/>
            <w:vMerge w:val="continue"/>
            <w:vAlign w:val="center"/>
          </w:tcPr>
          <w:p>
            <w:pPr>
              <w:widowControl/>
              <w:adjustRightInd w:val="0"/>
              <w:snapToGrid w:val="0"/>
              <w:jc w:val="center"/>
              <w:rPr>
                <w:rFonts w:ascii="仿宋" w:hAnsi="仿宋" w:eastAsia="仿宋" w:cs="仿宋_GB2312"/>
                <w:kern w:val="0"/>
                <w:sz w:val="24"/>
              </w:rPr>
            </w:pPr>
          </w:p>
        </w:tc>
        <w:tc>
          <w:tcPr>
            <w:tcW w:w="3243" w:type="dxa"/>
            <w:vAlign w:val="center"/>
          </w:tcPr>
          <w:p>
            <w:pPr>
              <w:widowControl/>
              <w:adjustRightInd w:val="0"/>
              <w:snapToGrid w:val="0"/>
              <w:ind w:left="-27" w:leftChars="-13"/>
              <w:jc w:val="center"/>
              <w:rPr>
                <w:rFonts w:ascii="仿宋" w:hAnsi="仿宋" w:eastAsia="仿宋" w:cs="仿宋_GB2312"/>
                <w:kern w:val="0"/>
                <w:sz w:val="24"/>
              </w:rPr>
            </w:pPr>
            <w:r>
              <w:rPr>
                <w:rFonts w:hint="eastAsia" w:ascii="仿宋" w:hAnsi="仿宋" w:eastAsia="仿宋" w:cs="仿宋_GB2312"/>
                <w:kern w:val="0"/>
                <w:sz w:val="24"/>
              </w:rPr>
              <w:t>申报获得新品种审定</w:t>
            </w:r>
          </w:p>
        </w:tc>
        <w:tc>
          <w:tcPr>
            <w:tcW w:w="867"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2</w:t>
            </w:r>
          </w:p>
        </w:tc>
        <w:tc>
          <w:tcPr>
            <w:tcW w:w="851"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1</w:t>
            </w:r>
          </w:p>
        </w:tc>
        <w:tc>
          <w:tcPr>
            <w:tcW w:w="851" w:type="dxa"/>
            <w:vAlign w:val="center"/>
          </w:tcPr>
          <w:p>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lang w:val="en-US" w:eastAsia="zh-CN"/>
              </w:rPr>
              <w:t>0.5</w:t>
            </w:r>
          </w:p>
        </w:tc>
        <w:tc>
          <w:tcPr>
            <w:tcW w:w="2694" w:type="dxa"/>
            <w:vMerge w:val="continue"/>
          </w:tcPr>
          <w:p>
            <w:pPr>
              <w:widowControl/>
              <w:adjustRightInd w:val="0"/>
              <w:snapToGrid w:val="0"/>
              <w:rPr>
                <w:rFonts w:ascii="仿宋" w:hAnsi="仿宋" w:eastAsia="仿宋" w:cs="仿宋_GB2312"/>
                <w:kern w:val="0"/>
                <w:sz w:val="28"/>
                <w:szCs w:val="28"/>
              </w:rPr>
            </w:pPr>
          </w:p>
        </w:tc>
      </w:tr>
    </w:tbl>
    <w:p>
      <w:pPr>
        <w:widowControl/>
        <w:adjustRightInd w:val="0"/>
        <w:snapToGrid w:val="0"/>
        <w:spacing w:line="360" w:lineRule="auto"/>
        <w:ind w:firstLine="281" w:firstLineChars="100"/>
        <w:rPr>
          <w:rFonts w:ascii="仿宋" w:hAnsi="仿宋" w:eastAsia="仿宋" w:cs="仿宋_GB2312"/>
          <w:b/>
          <w:bCs/>
          <w:color w:val="000000"/>
          <w:kern w:val="0"/>
          <w:sz w:val="28"/>
          <w:szCs w:val="28"/>
        </w:rPr>
      </w:pPr>
    </w:p>
    <w:p>
      <w:pPr>
        <w:widowControl/>
        <w:numPr>
          <w:ilvl w:val="0"/>
          <w:numId w:val="0"/>
        </w:numPr>
        <w:adjustRightInd w:val="0"/>
        <w:snapToGrid w:val="0"/>
        <w:spacing w:line="360" w:lineRule="auto"/>
        <w:ind w:firstLine="562" w:firstLineChars="200"/>
        <w:rPr>
          <w:rFonts w:hint="default" w:ascii="仿宋" w:hAnsi="仿宋" w:eastAsia="仿宋" w:cs="仿宋_GB2312"/>
          <w:b/>
          <w:bCs/>
          <w:color w:val="000000"/>
          <w:kern w:val="0"/>
          <w:sz w:val="28"/>
          <w:szCs w:val="28"/>
          <w:lang w:val="en-US" w:eastAsia="zh-CN"/>
        </w:rPr>
      </w:pPr>
      <w:r>
        <w:rPr>
          <w:rFonts w:hint="eastAsia" w:ascii="仿宋" w:hAnsi="仿宋" w:eastAsia="仿宋" w:cs="仿宋_GB2312"/>
          <w:b/>
          <w:bCs/>
          <w:color w:val="000000"/>
          <w:kern w:val="0"/>
          <w:sz w:val="28"/>
          <w:szCs w:val="28"/>
          <w:lang w:val="en-US" w:eastAsia="zh-CN"/>
        </w:rPr>
        <w:t>（三）发展素养评价，计分如下表:</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3"/>
        <w:gridCol w:w="6544"/>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华文仿宋" w:hAnsi="华文仿宋" w:eastAsia="华文仿宋" w:cs="华文仿宋"/>
                <w:b/>
                <w:bCs/>
                <w:i w:val="0"/>
                <w:iCs w:val="0"/>
                <w:color w:val="000000"/>
                <w:sz w:val="24"/>
                <w:szCs w:val="24"/>
                <w:u w:val="none"/>
                <w:lang w:val="en-US"/>
              </w:rPr>
            </w:pPr>
            <w:r>
              <w:rPr>
                <w:rFonts w:hint="eastAsia" w:ascii="华文仿宋" w:hAnsi="华文仿宋" w:eastAsia="华文仿宋" w:cs="华文仿宋"/>
                <w:b/>
                <w:bCs/>
                <w:i w:val="0"/>
                <w:iCs w:val="0"/>
                <w:color w:val="000000"/>
                <w:kern w:val="0"/>
                <w:sz w:val="24"/>
                <w:szCs w:val="24"/>
                <w:u w:val="none"/>
                <w:lang w:val="en-US" w:eastAsia="zh-CN" w:bidi="ar"/>
              </w:rPr>
              <w:t>学生工作</w:t>
            </w:r>
          </w:p>
        </w:tc>
        <w:tc>
          <w:tcPr>
            <w:tcW w:w="6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华文仿宋" w:hAnsi="华文仿宋" w:eastAsia="华文仿宋" w:cs="华文仿宋"/>
                <w:i w:val="0"/>
                <w:iCs w:val="0"/>
                <w:color w:val="000000"/>
                <w:sz w:val="24"/>
                <w:szCs w:val="24"/>
                <w:u w:val="none"/>
              </w:rPr>
            </w:pPr>
            <w:r>
              <w:rPr>
                <w:rStyle w:val="26"/>
                <w:rFonts w:hint="eastAsia" w:ascii="华文仿宋" w:hAnsi="华文仿宋" w:eastAsia="华文仿宋" w:cs="华文仿宋"/>
                <w:sz w:val="24"/>
                <w:szCs w:val="24"/>
                <w:lang w:val="en-US" w:eastAsia="zh-CN" w:bidi="ar"/>
              </w:rPr>
              <w:br w:type="textWrapping"/>
            </w:r>
            <w:r>
              <w:rPr>
                <w:rStyle w:val="27"/>
                <w:rFonts w:ascii="华文仿宋" w:hAnsi="华文仿宋" w:eastAsia="华文仿宋" w:cs="华文仿宋"/>
                <w:sz w:val="24"/>
                <w:szCs w:val="24"/>
                <w:lang w:val="en-US" w:eastAsia="zh-CN" w:bidi="ar"/>
              </w:rPr>
              <w:t>省学联主席团成员</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华文仿宋" w:hAnsi="华文仿宋" w:eastAsia="华文仿宋" w:cs="华文仿宋"/>
                <w:b/>
                <w:bCs/>
                <w:i w:val="0"/>
                <w:iCs w:val="0"/>
                <w:color w:val="000000"/>
                <w:sz w:val="24"/>
                <w:szCs w:val="24"/>
                <w:u w:val="none"/>
              </w:rPr>
            </w:pPr>
          </w:p>
        </w:tc>
        <w:tc>
          <w:tcPr>
            <w:tcW w:w="6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left"/>
              <w:rPr>
                <w:rFonts w:hint="eastAsia" w:ascii="华文仿宋" w:hAnsi="华文仿宋" w:eastAsia="华文仿宋" w:cs="华文仿宋"/>
                <w:i w:val="0"/>
                <w:iCs w:val="0"/>
                <w:color w:val="000000"/>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仿宋" w:hAnsi="华文仿宋" w:eastAsia="华文仿宋" w:cs="华文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华文仿宋" w:hAnsi="华文仿宋" w:eastAsia="华文仿宋" w:cs="华文仿宋"/>
                <w:b/>
                <w:bCs/>
                <w:i w:val="0"/>
                <w:iCs w:val="0"/>
                <w:color w:val="000000"/>
                <w:sz w:val="24"/>
                <w:szCs w:val="24"/>
                <w:u w:val="none"/>
              </w:rPr>
            </w:pP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校、院一级学生组织的主要负责人</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华文仿宋" w:hAnsi="华文仿宋" w:eastAsia="华文仿宋" w:cs="华文仿宋"/>
                <w:b/>
                <w:bCs/>
                <w:i w:val="0"/>
                <w:iCs w:val="0"/>
                <w:color w:val="000000"/>
                <w:sz w:val="24"/>
                <w:szCs w:val="24"/>
                <w:u w:val="none"/>
              </w:rPr>
            </w:pP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default" w:ascii="华文仿宋" w:hAnsi="华文仿宋" w:eastAsia="华文仿宋" w:cs="华文仿宋"/>
                <w:i w:val="0"/>
                <w:iCs w:val="0"/>
                <w:color w:val="000000"/>
                <w:sz w:val="24"/>
                <w:szCs w:val="24"/>
                <w:u w:val="none"/>
                <w:lang w:val="en-US"/>
              </w:rPr>
            </w:pPr>
            <w:r>
              <w:rPr>
                <w:rFonts w:hint="eastAsia" w:ascii="华文仿宋" w:hAnsi="华文仿宋" w:eastAsia="华文仿宋" w:cs="华文仿宋"/>
                <w:i w:val="0"/>
                <w:iCs w:val="0"/>
                <w:color w:val="000000"/>
                <w:kern w:val="0"/>
                <w:sz w:val="24"/>
                <w:szCs w:val="24"/>
                <w:u w:val="none"/>
                <w:lang w:val="en-US" w:eastAsia="zh-CN" w:bidi="ar"/>
              </w:rPr>
              <w:t>校、院一级学生组织的部门负责人、二级学生组织的主要负责人、党支部副书记；年级委员、助理班主任、团支书、班长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华文仿宋" w:hAnsi="华文仿宋" w:eastAsia="华文仿宋" w:cs="华文仿宋"/>
                <w:b/>
                <w:bCs/>
                <w:i w:val="0"/>
                <w:iCs w:val="0"/>
                <w:color w:val="000000"/>
                <w:sz w:val="24"/>
                <w:szCs w:val="24"/>
                <w:u w:val="none"/>
              </w:rPr>
            </w:pP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华文仿宋" w:hAnsi="华文仿宋" w:eastAsia="华文仿宋" w:cs="华文仿宋"/>
                <w:i w:val="0"/>
                <w:iCs w:val="0"/>
                <w:color w:val="000000"/>
                <w:sz w:val="24"/>
                <w:szCs w:val="24"/>
                <w:u w:val="none"/>
              </w:rPr>
            </w:pPr>
            <w:r>
              <w:rPr>
                <w:rStyle w:val="28"/>
                <w:rFonts w:ascii="华文仿宋" w:hAnsi="华文仿宋" w:eastAsia="华文仿宋" w:cs="华文仿宋"/>
                <w:sz w:val="24"/>
                <w:szCs w:val="24"/>
                <w:lang w:val="en-US" w:eastAsia="zh-CN" w:bidi="ar"/>
              </w:rPr>
              <w:t>教官团正式学员、党支部其它支委、班级其他委员、校内各级学生组织干事</w:t>
            </w:r>
            <w:r>
              <w:rPr>
                <w:rStyle w:val="29"/>
                <w:rFonts w:hint="eastAsia" w:ascii="华文仿宋" w:hAnsi="华文仿宋" w:eastAsia="华文仿宋" w:cs="华文仿宋"/>
                <w:sz w:val="24"/>
                <w:szCs w:val="24"/>
                <w:lang w:val="en-US" w:eastAsia="zh-CN" w:bidi="ar"/>
              </w:rPr>
              <w:t xml:space="preserve">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3" w:type="dxa"/>
            <w:vMerge w:val="continue"/>
            <w:tcBorders>
              <w:left w:val="single" w:color="000000" w:sz="4" w:space="0"/>
              <w:right w:val="single" w:color="000000" w:sz="4" w:space="0"/>
            </w:tcBorders>
            <w:shd w:val="clear" w:color="auto" w:fill="auto"/>
            <w:vAlign w:val="center"/>
          </w:tcPr>
          <w:p>
            <w:pPr>
              <w:spacing w:line="0" w:lineRule="atLeast"/>
              <w:jc w:val="both"/>
              <w:rPr>
                <w:rFonts w:hint="eastAsia" w:ascii="华文仿宋" w:hAnsi="华文仿宋" w:eastAsia="华文仿宋" w:cs="华文仿宋"/>
                <w:b/>
                <w:bCs/>
                <w:i w:val="0"/>
                <w:iCs w:val="0"/>
                <w:color w:val="000000"/>
                <w:sz w:val="24"/>
                <w:szCs w:val="24"/>
                <w:u w:val="none"/>
                <w:lang w:val="en-US" w:eastAsia="zh-CN"/>
              </w:rPr>
            </w:pPr>
            <w:r>
              <w:rPr>
                <w:rFonts w:hint="eastAsia" w:ascii="华文仿宋" w:hAnsi="华文仿宋" w:eastAsia="华文仿宋" w:cs="华文仿宋"/>
                <w:b/>
                <w:bCs/>
                <w:i w:val="0"/>
                <w:iCs w:val="0"/>
                <w:color w:val="000000"/>
                <w:sz w:val="24"/>
                <w:szCs w:val="24"/>
                <w:u w:val="none"/>
                <w:lang w:val="en-US" w:eastAsia="zh-CN"/>
              </w:rPr>
              <w:t>待定</w:t>
            </w: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28"/>
                <w:rFonts w:hint="eastAsia" w:ascii="华文仿宋" w:hAnsi="华文仿宋" w:eastAsia="华文仿宋" w:cs="华文仿宋"/>
                <w:sz w:val="24"/>
                <w:szCs w:val="24"/>
                <w:lang w:val="en-US" w:eastAsia="zh-CN" w:bidi="ar"/>
              </w:rPr>
            </w:pPr>
            <w:r>
              <w:rPr>
                <w:rStyle w:val="28"/>
                <w:rFonts w:hint="eastAsia" w:ascii="华文仿宋" w:hAnsi="华文仿宋" w:eastAsia="华文仿宋" w:cs="华文仿宋"/>
                <w:sz w:val="24"/>
                <w:szCs w:val="24"/>
                <w:lang w:val="en-US" w:eastAsia="zh-CN" w:bidi="ar"/>
              </w:rPr>
              <w:t>i志愿时入学以来累计达120以上</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3" w:type="dxa"/>
            <w:vMerge w:val="restart"/>
            <w:tcBorders>
              <w:left w:val="single" w:color="000000" w:sz="4" w:space="0"/>
              <w:right w:val="single" w:color="000000" w:sz="4" w:space="0"/>
            </w:tcBorders>
            <w:shd w:val="clear" w:color="auto" w:fill="auto"/>
            <w:vAlign w:val="center"/>
          </w:tcPr>
          <w:p>
            <w:pPr>
              <w:spacing w:line="0" w:lineRule="atLeast"/>
              <w:jc w:val="center"/>
              <w:rPr>
                <w:rFonts w:hint="eastAsia" w:ascii="华文仿宋" w:hAnsi="华文仿宋" w:eastAsia="华文仿宋" w:cs="华文仿宋"/>
                <w:b/>
                <w:bCs/>
                <w:i w:val="0"/>
                <w:iCs w:val="0"/>
                <w:color w:val="000000"/>
                <w:sz w:val="24"/>
                <w:szCs w:val="24"/>
                <w:u w:val="none"/>
                <w:lang w:val="en-US" w:eastAsia="zh-CN"/>
              </w:rPr>
            </w:pPr>
            <w:r>
              <w:rPr>
                <w:rFonts w:hint="eastAsia" w:ascii="华文仿宋" w:hAnsi="华文仿宋" w:eastAsia="华文仿宋" w:cs="华文仿宋"/>
                <w:b/>
                <w:bCs/>
                <w:i w:val="0"/>
                <w:iCs w:val="0"/>
                <w:color w:val="000000"/>
                <w:sz w:val="24"/>
                <w:szCs w:val="24"/>
                <w:u w:val="none"/>
                <w:lang w:val="en-US" w:eastAsia="zh-CN"/>
              </w:rPr>
              <w:t>国际交流</w:t>
            </w: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28"/>
                <w:rFonts w:hint="eastAsia" w:ascii="华文仿宋" w:hAnsi="华文仿宋" w:eastAsia="华文仿宋" w:cs="华文仿宋"/>
                <w:sz w:val="24"/>
                <w:szCs w:val="24"/>
                <w:lang w:val="en-US" w:eastAsia="zh-CN" w:bidi="ar"/>
              </w:rPr>
            </w:pPr>
            <w:r>
              <w:rPr>
                <w:rStyle w:val="28"/>
                <w:rFonts w:hint="eastAsia" w:ascii="华文仿宋" w:hAnsi="华文仿宋" w:eastAsia="华文仿宋" w:cs="华文仿宋"/>
                <w:sz w:val="24"/>
                <w:szCs w:val="24"/>
                <w:lang w:val="en-US" w:eastAsia="zh-CN" w:bidi="ar"/>
              </w:rPr>
              <w:t>参加国际组织实习、赴境外学习交流（须为学校相关部门、学院推荐或组织的项目）</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3" w:type="dxa"/>
            <w:vMerge w:val="continue"/>
            <w:tcBorders>
              <w:left w:val="single" w:color="000000" w:sz="4" w:space="0"/>
              <w:right w:val="single" w:color="000000" w:sz="4" w:space="0"/>
            </w:tcBorders>
            <w:shd w:val="clear" w:color="auto" w:fill="auto"/>
            <w:vAlign w:val="center"/>
          </w:tcPr>
          <w:p>
            <w:pPr>
              <w:spacing w:line="0" w:lineRule="atLeast"/>
              <w:jc w:val="center"/>
              <w:rPr>
                <w:rFonts w:hint="eastAsia" w:ascii="华文仿宋" w:hAnsi="华文仿宋" w:eastAsia="华文仿宋" w:cs="华文仿宋"/>
                <w:b/>
                <w:bCs/>
                <w:i w:val="0"/>
                <w:iCs w:val="0"/>
                <w:color w:val="000000"/>
                <w:sz w:val="24"/>
                <w:szCs w:val="24"/>
                <w:u w:val="none"/>
                <w:lang w:val="en-US" w:eastAsia="zh-CN"/>
              </w:rPr>
            </w:pP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28"/>
                <w:rFonts w:hint="eastAsia" w:ascii="华文仿宋" w:hAnsi="华文仿宋" w:eastAsia="华文仿宋" w:cs="华文仿宋"/>
                <w:sz w:val="24"/>
                <w:szCs w:val="24"/>
                <w:lang w:val="en-US" w:eastAsia="zh-CN" w:bidi="ar"/>
              </w:rPr>
            </w:pPr>
            <w:r>
              <w:rPr>
                <w:rStyle w:val="28"/>
                <w:rFonts w:hint="eastAsia" w:ascii="华文仿宋" w:hAnsi="华文仿宋" w:eastAsia="华文仿宋" w:cs="华文仿宋"/>
                <w:sz w:val="24"/>
                <w:szCs w:val="24"/>
                <w:lang w:val="en-US" w:eastAsia="zh-CN" w:bidi="ar"/>
              </w:rPr>
              <w:t>六级 425-524 分；托福 72-94 分；雅思 5.5-6.4；GRE 成绩 280-299 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3" w:type="dxa"/>
            <w:vMerge w:val="continue"/>
            <w:tcBorders>
              <w:left w:val="single" w:color="000000" w:sz="4" w:space="0"/>
              <w:right w:val="single" w:color="000000" w:sz="4" w:space="0"/>
            </w:tcBorders>
            <w:shd w:val="clear" w:color="auto" w:fill="auto"/>
            <w:vAlign w:val="center"/>
          </w:tcPr>
          <w:p>
            <w:pPr>
              <w:spacing w:line="0" w:lineRule="atLeast"/>
              <w:jc w:val="center"/>
              <w:rPr>
                <w:rFonts w:hint="eastAsia" w:ascii="华文仿宋" w:hAnsi="华文仿宋" w:eastAsia="华文仿宋" w:cs="华文仿宋"/>
                <w:b/>
                <w:bCs/>
                <w:i w:val="0"/>
                <w:iCs w:val="0"/>
                <w:color w:val="000000"/>
                <w:sz w:val="24"/>
                <w:szCs w:val="24"/>
                <w:u w:val="none"/>
                <w:lang w:val="en-US" w:eastAsia="zh-CN"/>
              </w:rPr>
            </w:pP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28"/>
                <w:rFonts w:hint="eastAsia" w:ascii="华文仿宋" w:hAnsi="华文仿宋" w:eastAsia="华文仿宋" w:cs="华文仿宋"/>
                <w:sz w:val="24"/>
                <w:szCs w:val="24"/>
                <w:lang w:val="en-US" w:eastAsia="zh-CN" w:bidi="ar"/>
              </w:rPr>
            </w:pPr>
            <w:r>
              <w:rPr>
                <w:rStyle w:val="28"/>
                <w:rFonts w:hint="eastAsia" w:ascii="华文仿宋" w:hAnsi="华文仿宋" w:eastAsia="华文仿宋" w:cs="华文仿宋"/>
                <w:sz w:val="24"/>
                <w:szCs w:val="24"/>
                <w:lang w:val="en-US" w:eastAsia="zh-CN" w:bidi="ar"/>
              </w:rPr>
              <w:t>六级 525 分以上；托福 95 分以上；雅思 6.5 分及以上； GRE 成绩 300 分及以上</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3" w:type="dxa"/>
            <w:tcBorders>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华文仿宋" w:hAnsi="华文仿宋" w:eastAsia="华文仿宋" w:cs="华文仿宋"/>
                <w:b/>
                <w:bCs/>
                <w:i w:val="0"/>
                <w:iCs w:val="0"/>
                <w:color w:val="000000"/>
                <w:sz w:val="24"/>
                <w:szCs w:val="24"/>
                <w:u w:val="none"/>
                <w:lang w:val="en-US" w:eastAsia="zh-CN"/>
              </w:rPr>
            </w:pPr>
            <w:r>
              <w:rPr>
                <w:rFonts w:hint="eastAsia" w:ascii="华文仿宋" w:hAnsi="华文仿宋" w:eastAsia="华文仿宋" w:cs="华文仿宋"/>
                <w:b/>
                <w:bCs/>
                <w:i w:val="0"/>
                <w:iCs w:val="0"/>
                <w:color w:val="000000"/>
                <w:sz w:val="24"/>
                <w:szCs w:val="24"/>
                <w:u w:val="none"/>
                <w:lang w:val="en-US" w:eastAsia="zh-CN"/>
              </w:rPr>
              <w:t>服兵役</w:t>
            </w: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28"/>
                <w:rFonts w:hint="eastAsia" w:ascii="华文仿宋" w:hAnsi="华文仿宋" w:eastAsia="华文仿宋" w:cs="华文仿宋"/>
                <w:sz w:val="24"/>
                <w:szCs w:val="24"/>
                <w:lang w:val="en-US" w:eastAsia="zh-CN" w:bidi="ar"/>
              </w:rPr>
            </w:pPr>
            <w:r>
              <w:rPr>
                <w:rStyle w:val="28"/>
                <w:rFonts w:hint="eastAsia" w:ascii="华文仿宋" w:hAnsi="华文仿宋" w:eastAsia="华文仿宋" w:cs="华文仿宋"/>
                <w:sz w:val="24"/>
                <w:szCs w:val="24"/>
                <w:lang w:val="en-US" w:eastAsia="zh-CN" w:bidi="ar"/>
              </w:rPr>
              <w:t>完成服役的退役复学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w:t>
            </w:r>
          </w:p>
        </w:tc>
      </w:tr>
    </w:tbl>
    <w:p>
      <w:pPr>
        <w:widowControl/>
        <w:adjustRightInd w:val="0"/>
        <w:snapToGrid w:val="0"/>
        <w:spacing w:line="360" w:lineRule="auto"/>
        <w:ind w:firstLine="300" w:firstLineChars="200"/>
        <w:jc w:val="center"/>
        <w:rPr>
          <w:rFonts w:ascii="仿宋" w:hAnsi="仿宋" w:eastAsia="仿宋" w:cs="仿宋_GB2312"/>
          <w:color w:val="000000"/>
          <w:kern w:val="0"/>
          <w:sz w:val="15"/>
          <w:szCs w:val="15"/>
        </w:rPr>
      </w:pPr>
    </w:p>
    <w:p>
      <w:pPr>
        <w:widowControl/>
        <w:adjustRightInd w:val="0"/>
        <w:snapToGrid w:val="0"/>
        <w:spacing w:line="360" w:lineRule="auto"/>
        <w:ind w:firstLine="562" w:firstLineChars="200"/>
        <w:rPr>
          <w:rFonts w:hint="eastAsia" w:ascii="仿宋" w:hAnsi="仿宋" w:eastAsia="仿宋" w:cs="仿宋_GB2312"/>
          <w:b/>
          <w:bCs/>
          <w:color w:val="000000"/>
          <w:kern w:val="0"/>
          <w:sz w:val="28"/>
          <w:szCs w:val="28"/>
        </w:rPr>
      </w:pPr>
    </w:p>
    <w:p>
      <w:pPr>
        <w:widowControl/>
        <w:adjustRightInd w:val="0"/>
        <w:snapToGrid w:val="0"/>
        <w:spacing w:line="360" w:lineRule="auto"/>
        <w:ind w:firstLine="562" w:firstLineChars="200"/>
        <w:rPr>
          <w:rFonts w:ascii="仿宋" w:hAnsi="仿宋" w:eastAsia="仿宋" w:cs="仿宋_GB2312"/>
          <w:color w:val="000000"/>
          <w:kern w:val="0"/>
          <w:sz w:val="28"/>
          <w:szCs w:val="28"/>
        </w:rPr>
      </w:pPr>
      <w:r>
        <w:rPr>
          <w:rFonts w:hint="eastAsia" w:ascii="仿宋" w:hAnsi="仿宋" w:eastAsia="仿宋" w:cs="仿宋_GB2312"/>
          <w:b/>
          <w:bCs/>
          <w:color w:val="000000"/>
          <w:kern w:val="0"/>
          <w:sz w:val="28"/>
          <w:szCs w:val="28"/>
        </w:rPr>
        <w:t>特殊学术专长推免生</w:t>
      </w:r>
      <w:r>
        <w:rPr>
          <w:rFonts w:hint="eastAsia" w:ascii="仿宋" w:hAnsi="仿宋" w:eastAsia="仿宋" w:cs="仿宋_GB2312"/>
          <w:color w:val="000000"/>
          <w:kern w:val="0"/>
          <w:sz w:val="28"/>
          <w:szCs w:val="28"/>
        </w:rPr>
        <w:t>的指标在学院推免指标统筹，由学院根据学院实际情况决定。不能超过当年学校下达给学院推免指标（不含单列指标数）的10%。特殊学术专长推免生个人成绩参考一般推荐免试研究生计算方法进行单独排名。</w:t>
      </w:r>
    </w:p>
    <w:p>
      <w:pPr>
        <w:widowControl/>
        <w:adjustRightInd w:val="0"/>
        <w:snapToGrid w:val="0"/>
        <w:spacing w:line="360" w:lineRule="auto"/>
        <w:ind w:firstLine="562" w:firstLineChars="200"/>
        <w:rPr>
          <w:rFonts w:ascii="仿宋" w:hAnsi="仿宋" w:eastAsia="仿宋" w:cs="仿宋_GB2312"/>
          <w:color w:val="000000"/>
          <w:kern w:val="0"/>
          <w:sz w:val="28"/>
          <w:szCs w:val="28"/>
        </w:rPr>
      </w:pPr>
      <w:r>
        <w:rPr>
          <w:rFonts w:hint="eastAsia" w:ascii="仿宋" w:hAnsi="仿宋" w:eastAsia="仿宋" w:cs="仿宋_GB2312"/>
          <w:b/>
          <w:bCs/>
          <w:color w:val="000000"/>
          <w:kern w:val="0"/>
          <w:sz w:val="28"/>
          <w:szCs w:val="28"/>
        </w:rPr>
        <w:t>认定标准</w:t>
      </w:r>
      <w:r>
        <w:rPr>
          <w:rFonts w:hint="eastAsia" w:ascii="仿宋" w:hAnsi="仿宋" w:eastAsia="仿宋" w:cs="仿宋_GB2312"/>
          <w:b/>
          <w:bCs/>
          <w:color w:val="000000"/>
          <w:kern w:val="0"/>
          <w:sz w:val="28"/>
          <w:szCs w:val="28"/>
          <w:lang w:eastAsia="zh-CN"/>
        </w:rPr>
        <w:t>：</w:t>
      </w:r>
      <w:r>
        <w:rPr>
          <w:rFonts w:hint="eastAsia" w:ascii="仿宋" w:hAnsi="仿宋" w:eastAsia="仿宋" w:cs="仿宋_GB2312"/>
          <w:b w:val="0"/>
          <w:bCs w:val="0"/>
          <w:color w:val="000000"/>
          <w:kern w:val="0"/>
          <w:sz w:val="28"/>
          <w:szCs w:val="28"/>
        </w:rPr>
        <w:t>特殊学术专长必须满足《华南农业大学推荐优秀应届本科毕业生免试攻读研究生实施办法》</w:t>
      </w:r>
      <w:r>
        <w:rPr>
          <w:rFonts w:hint="eastAsia" w:ascii="仿宋" w:hAnsi="仿宋" w:eastAsia="仿宋" w:cs="仿宋_GB2312"/>
          <w:color w:val="000000"/>
          <w:kern w:val="0"/>
          <w:sz w:val="28"/>
          <w:szCs w:val="28"/>
        </w:rPr>
        <w:t>的认定标准，前三学年（五年制前四学年）学业平均学分绩点（GPA）不低于3.0，英语成绩达到文件要求。学生与直系亲属或学历、职称、职务明显高于本人者（不限院、系指定的指导老师）合作的科研成果、竞赛奖项等仅作为参考，不作为特殊学术专长的认定要求，同等条件下可优先考虑。对于质疑较多的赛事、刊物具体要求如下：</w:t>
      </w:r>
    </w:p>
    <w:p>
      <w:pPr>
        <w:widowControl/>
        <w:numPr>
          <w:ilvl w:val="255"/>
          <w:numId w:val="0"/>
        </w:numPr>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（1）发表论文达到《华南农业大学学术论文评价方案（试行）（华南农办）</w:t>
      </w:r>
      <w:r>
        <w:rPr>
          <w:rFonts w:hint="eastAsia" w:ascii="仿宋" w:hAnsi="仿宋" w:eastAsia="仿宋" w:cs="宋体"/>
          <w:kern w:val="0"/>
          <w:sz w:val="24"/>
        </w:rPr>
        <w:t>〔2021〕27号</w:t>
      </w:r>
      <w:r>
        <w:rPr>
          <w:rFonts w:hint="eastAsia" w:ascii="仿宋" w:hAnsi="仿宋" w:eastAsia="仿宋" w:cs="仿宋_GB2312"/>
          <w:color w:val="000000"/>
          <w:kern w:val="0"/>
          <w:sz w:val="28"/>
          <w:szCs w:val="28"/>
        </w:rPr>
        <w:t>》规定的C类以上论文要求，仅限学生本科阶段以独立作者或第一作者发表的与学业相关的科研论文，且第一作者单位为华南农业大学。论文发表截止时间为申请推免当年8月31日，即须见刊，不包括用稿通知。</w:t>
      </w:r>
    </w:p>
    <w:p>
      <w:pPr>
        <w:widowControl/>
        <w:numPr>
          <w:ilvl w:val="255"/>
          <w:numId w:val="0"/>
        </w:numPr>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发明专利是指国家知识产权局已授权，具有发明专利证书；与进校后所学专业或现学转学相关。实用新型专利和外观设计专利等不属于特殊学术专业认定范围。仅限学生本人为独立完成人、第一完成人或排名第二（学校指导老师排名第一），且以华南农业大学为第一知识产权（署名）单位。</w:t>
      </w:r>
    </w:p>
    <w:p>
      <w:pPr>
        <w:widowControl/>
        <w:numPr>
          <w:ilvl w:val="255"/>
          <w:numId w:val="0"/>
        </w:numPr>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（3）学科竞赛符合《华南农业大学学生竞赛奖励办法》（华南农办）</w:t>
      </w:r>
      <w:r>
        <w:rPr>
          <w:rFonts w:hint="eastAsia" w:ascii="仿宋" w:hAnsi="仿宋" w:eastAsia="仿宋" w:cs="宋体"/>
          <w:kern w:val="0"/>
          <w:sz w:val="28"/>
          <w:szCs w:val="28"/>
        </w:rPr>
        <w:t>〔</w:t>
      </w:r>
      <w:r>
        <w:rPr>
          <w:rFonts w:ascii="仿宋" w:hAnsi="仿宋" w:eastAsia="仿宋" w:cs="宋体"/>
          <w:kern w:val="0"/>
          <w:sz w:val="28"/>
          <w:szCs w:val="28"/>
        </w:rPr>
        <w:t>2022</w:t>
      </w:r>
      <w:r>
        <w:rPr>
          <w:rFonts w:hint="eastAsia" w:ascii="仿宋" w:hAnsi="仿宋" w:eastAsia="仿宋" w:cs="宋体"/>
          <w:kern w:val="0"/>
          <w:sz w:val="28"/>
          <w:szCs w:val="28"/>
        </w:rPr>
        <w:t>〕</w:t>
      </w:r>
      <w:r>
        <w:rPr>
          <w:rFonts w:ascii="仿宋" w:hAnsi="仿宋" w:eastAsia="仿宋" w:cs="宋体"/>
          <w:kern w:val="0"/>
          <w:sz w:val="28"/>
          <w:szCs w:val="28"/>
        </w:rPr>
        <w:t>38</w:t>
      </w:r>
      <w:r>
        <w:rPr>
          <w:rFonts w:hint="eastAsia" w:ascii="仿宋" w:hAnsi="仿宋" w:eastAsia="仿宋" w:cs="宋体"/>
          <w:kern w:val="0"/>
          <w:sz w:val="28"/>
          <w:szCs w:val="28"/>
        </w:rPr>
        <w:t>号</w:t>
      </w:r>
      <w:r>
        <w:rPr>
          <w:rFonts w:hint="eastAsia" w:ascii="仿宋" w:hAnsi="仿宋" w:eastAsia="仿宋" w:cs="宋体"/>
          <w:kern w:val="0"/>
          <w:sz w:val="24"/>
        </w:rPr>
        <w:t>）</w:t>
      </w:r>
      <w:r>
        <w:rPr>
          <w:rFonts w:hint="eastAsia" w:ascii="仿宋" w:hAnsi="仿宋" w:eastAsia="仿宋" w:cs="宋体"/>
          <w:kern w:val="0"/>
          <w:sz w:val="28"/>
          <w:szCs w:val="28"/>
        </w:rPr>
        <w:t>科技竞赛奖励名录范围。仅限学生作为主力队员代表华南农业大学获得与学业相关的国内权威科研竞赛（全国赛）三等奖以上（一等奖（特等奖）排序前5名；二等奖排序前4名；三等奖排序前3名）或省部级竞赛一等奖及以上且排序前2名（国际赛事参照执行，但不低于国内赛事相关要求）。</w:t>
      </w:r>
    </w:p>
    <w:p>
      <w:pPr>
        <w:widowControl/>
        <w:numPr>
          <w:ilvl w:val="255"/>
          <w:numId w:val="0"/>
        </w:numPr>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宋体"/>
          <w:kern w:val="0"/>
          <w:sz w:val="28"/>
          <w:szCs w:val="28"/>
        </w:rPr>
        <w:t>（4）拔尖体育竞赛获奖者是指代表华南农业大学参加全国大学生运动会获第一、第二名，广东省大学生运动会获第一名的个人或团队的主力队员，参加全国大学生单项锦标赛第一名的队员。团队的主力队员以参赛秩序册为准，并提供学校体育教学研究部和其他队员的相关证明材料。</w:t>
      </w:r>
    </w:p>
    <w:p>
      <w:pPr>
        <w:widowControl/>
        <w:numPr>
          <w:ilvl w:val="255"/>
          <w:numId w:val="0"/>
        </w:numPr>
        <w:adjustRightInd w:val="0"/>
        <w:snapToGrid w:val="0"/>
        <w:spacing w:line="360" w:lineRule="auto"/>
        <w:ind w:firstLine="0" w:firstLineChars="0"/>
        <w:rPr>
          <w:rFonts w:ascii="仿宋" w:hAnsi="仿宋" w:eastAsia="仿宋" w:cs="仿宋_GB2312"/>
          <w:color w:val="000000"/>
          <w:kern w:val="0"/>
          <w:sz w:val="28"/>
          <w:szCs w:val="28"/>
        </w:rPr>
      </w:pPr>
      <w:r>
        <w:rPr>
          <w:rFonts w:hint="eastAsia" w:ascii="仿宋" w:hAnsi="仿宋" w:eastAsia="仿宋" w:cs="仿宋_GB2312"/>
          <w:b/>
          <w:bCs/>
          <w:color w:val="000000"/>
          <w:kern w:val="0"/>
          <w:sz w:val="28"/>
          <w:szCs w:val="28"/>
          <w:lang w:val="en-US" w:eastAsia="zh-CN"/>
        </w:rPr>
        <w:t xml:space="preserve">    </w:t>
      </w:r>
      <w:r>
        <w:rPr>
          <w:rFonts w:hint="eastAsia" w:ascii="仿宋" w:hAnsi="仿宋" w:eastAsia="仿宋" w:cs="仿宋_GB2312"/>
          <w:b w:val="0"/>
          <w:bCs w:val="0"/>
          <w:color w:val="000000"/>
          <w:kern w:val="0"/>
          <w:sz w:val="28"/>
          <w:szCs w:val="28"/>
        </w:rPr>
        <w:t>在部队</w:t>
      </w:r>
      <w:r>
        <w:rPr>
          <w:rFonts w:hint="eastAsia" w:ascii="仿宋" w:hAnsi="仿宋" w:eastAsia="仿宋" w:cs="仿宋_GB2312"/>
          <w:b/>
          <w:bCs/>
          <w:color w:val="000000"/>
          <w:kern w:val="0"/>
          <w:sz w:val="28"/>
          <w:szCs w:val="28"/>
        </w:rPr>
        <w:t>荣立二等功</w:t>
      </w:r>
      <w:r>
        <w:rPr>
          <w:rFonts w:hint="eastAsia" w:ascii="仿宋" w:hAnsi="仿宋" w:eastAsia="仿宋" w:cs="仿宋_GB2312"/>
          <w:b w:val="0"/>
          <w:bCs w:val="0"/>
          <w:color w:val="000000"/>
          <w:kern w:val="0"/>
          <w:sz w:val="28"/>
          <w:szCs w:val="28"/>
        </w:rPr>
        <w:t>以上退役本科生必须在读华南农业大学期间全部课程考核合格且符合研究生报名条件。通过学校推免生遴选工作领导小组审批后，可不受学业成绩和综合分数的排名限制，直接获得推免生推荐资格。</w:t>
      </w:r>
    </w:p>
    <w:p>
      <w:pPr>
        <w:adjustRightInd w:val="0"/>
        <w:snapToGrid w:val="0"/>
        <w:spacing w:line="360" w:lineRule="auto"/>
        <w:ind w:firstLine="0" w:firstLineChars="0"/>
        <w:rPr>
          <w:rFonts w:hint="eastAsia" w:ascii="仿宋" w:hAnsi="仿宋" w:eastAsia="仿宋" w:cs="黑体"/>
          <w:b/>
          <w:bCs/>
          <w:sz w:val="28"/>
          <w:szCs w:val="28"/>
        </w:rPr>
      </w:pPr>
    </w:p>
    <w:p>
      <w:pPr>
        <w:adjustRightInd w:val="0"/>
        <w:snapToGrid w:val="0"/>
        <w:spacing w:line="360" w:lineRule="auto"/>
        <w:ind w:firstLine="562" w:firstLineChars="200"/>
        <w:rPr>
          <w:rFonts w:ascii="仿宋" w:hAnsi="仿宋" w:eastAsia="仿宋" w:cs="黑体"/>
          <w:b/>
          <w:bCs/>
          <w:sz w:val="28"/>
          <w:szCs w:val="28"/>
        </w:rPr>
      </w:pPr>
      <w:r>
        <w:rPr>
          <w:rFonts w:hint="eastAsia" w:ascii="仿宋" w:hAnsi="仿宋" w:eastAsia="仿宋" w:cs="黑体"/>
          <w:b/>
          <w:bCs/>
          <w:sz w:val="28"/>
          <w:szCs w:val="28"/>
        </w:rPr>
        <w:t>四、工作程序</w:t>
      </w:r>
    </w:p>
    <w:p>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kern w:val="0"/>
          <w:sz w:val="28"/>
          <w:szCs w:val="28"/>
        </w:rPr>
        <w:t>（一）</w:t>
      </w:r>
      <w:r>
        <w:rPr>
          <w:rFonts w:hint="eastAsia" w:ascii="仿宋" w:hAnsi="仿宋" w:eastAsia="仿宋" w:cs="仿宋_GB2312"/>
          <w:color w:val="000000"/>
          <w:kern w:val="0"/>
          <w:sz w:val="28"/>
          <w:szCs w:val="28"/>
        </w:rPr>
        <w:t>学生申请：学院根据学校安排公布工作通知，符合条件的学生自主在规定时间内按要求向学院工作小组提交相关申报材料；逾期未能提交相关材料的视为自愿放弃推免申请或相关项目计分申请。</w:t>
      </w:r>
    </w:p>
    <w:p>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kern w:val="0"/>
          <w:sz w:val="28"/>
          <w:szCs w:val="28"/>
        </w:rPr>
        <w:t>（二）</w:t>
      </w:r>
      <w:r>
        <w:rPr>
          <w:rFonts w:hint="eastAsia" w:ascii="仿宋" w:hAnsi="仿宋" w:eastAsia="仿宋" w:cs="仿宋_GB2312"/>
          <w:color w:val="000000"/>
          <w:kern w:val="0"/>
          <w:sz w:val="28"/>
          <w:szCs w:val="28"/>
        </w:rPr>
        <w:t>学院审核：学院对申请学生进行审核。</w:t>
      </w:r>
    </w:p>
    <w:p>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1、思想品德考核由学院党委副书记、全院辅导员、班主任等组成的小组对申请学生的思想品行进行全面考察和评审；</w:t>
      </w:r>
    </w:p>
    <w:p>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2、学院将符合推免资格的申请人按照前三学年（五年制的前四学年）平均学分绩点排序，按照推荐名额1:2的比例拟定入围推免的候选人名单，并予公布。</w:t>
      </w:r>
    </w:p>
    <w:p>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ascii="仿宋" w:hAnsi="仿宋" w:eastAsia="仿宋" w:cs="仿宋_GB2312"/>
          <w:color w:val="000000"/>
          <w:kern w:val="0"/>
          <w:sz w:val="28"/>
          <w:szCs w:val="28"/>
        </w:rPr>
        <w:t>3</w:t>
      </w:r>
      <w:r>
        <w:rPr>
          <w:rFonts w:hint="eastAsia" w:ascii="仿宋" w:hAnsi="仿宋" w:eastAsia="仿宋" w:cs="仿宋_GB2312"/>
          <w:color w:val="000000"/>
          <w:kern w:val="0"/>
          <w:sz w:val="28"/>
          <w:szCs w:val="28"/>
        </w:rPr>
        <w:t>、科研素质由学院</w:t>
      </w:r>
      <w:r>
        <w:rPr>
          <w:rFonts w:hint="eastAsia" w:ascii="仿宋" w:hAnsi="仿宋" w:eastAsia="仿宋" w:cs="仿宋_GB2312"/>
          <w:sz w:val="28"/>
          <w:szCs w:val="28"/>
        </w:rPr>
        <w:t>专家审核小组组织进行核查，核查后按学业成绩分及</w:t>
      </w:r>
      <w:r>
        <w:rPr>
          <w:rFonts w:hint="eastAsia" w:ascii="仿宋" w:hAnsi="仿宋" w:eastAsia="仿宋" w:cs="仿宋_GB2312"/>
          <w:color w:val="000000"/>
          <w:kern w:val="0"/>
          <w:sz w:val="28"/>
          <w:szCs w:val="28"/>
        </w:rPr>
        <w:t>科研素质分总分由高到低进行排序，根据学校下达学院推免指标确定正式推荐和候补推荐名单；</w:t>
      </w:r>
    </w:p>
    <w:p>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kern w:val="0"/>
          <w:sz w:val="28"/>
          <w:szCs w:val="28"/>
        </w:rPr>
        <w:t>（三）</w:t>
      </w:r>
      <w:r>
        <w:rPr>
          <w:rFonts w:hint="eastAsia" w:ascii="仿宋" w:hAnsi="仿宋" w:eastAsia="仿宋" w:cs="仿宋_GB2312"/>
          <w:color w:val="000000"/>
          <w:kern w:val="0"/>
          <w:sz w:val="28"/>
          <w:szCs w:val="28"/>
        </w:rPr>
        <w:t>公示：经学院工作领导小组审核后，拟推荐结果在院内公示3天。公示无异议后报送学校推免工作领导小组审定，学校将审定通过的推免生名单进行公示5天。公示无异议最终确定名单。</w:t>
      </w:r>
    </w:p>
    <w:p>
      <w:pPr>
        <w:widowControl/>
        <w:adjustRightInd w:val="0"/>
        <w:snapToGrid w:val="0"/>
        <w:spacing w:line="360" w:lineRule="auto"/>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（四）</w:t>
      </w:r>
      <w:r>
        <w:rPr>
          <w:rFonts w:hint="eastAsia" w:ascii="仿宋" w:hAnsi="仿宋" w:eastAsia="仿宋" w:cs="仿宋_GB2312"/>
          <w:color w:val="000000"/>
          <w:kern w:val="0"/>
          <w:sz w:val="28"/>
          <w:szCs w:val="28"/>
        </w:rPr>
        <w:t>申诉：如对学院结果有异议的，可在公示期内实名向</w:t>
      </w:r>
      <w:r>
        <w:rPr>
          <w:rFonts w:hint="eastAsia" w:ascii="仿宋" w:hAnsi="仿宋" w:eastAsia="仿宋" w:cs="仿宋_GB2312"/>
          <w:kern w:val="0"/>
          <w:sz w:val="28"/>
          <w:szCs w:val="28"/>
        </w:rPr>
        <w:t>学院工作领导小组申诉；</w:t>
      </w:r>
      <w:r>
        <w:rPr>
          <w:rFonts w:hint="eastAsia" w:ascii="仿宋" w:hAnsi="仿宋" w:eastAsia="仿宋" w:cs="仿宋_GB2312"/>
          <w:color w:val="000000"/>
          <w:kern w:val="0"/>
          <w:sz w:val="28"/>
          <w:szCs w:val="28"/>
        </w:rPr>
        <w:t>在学校公示期内有异议的，向</w:t>
      </w:r>
      <w:r>
        <w:rPr>
          <w:rFonts w:hint="eastAsia" w:ascii="仿宋" w:hAnsi="仿宋" w:eastAsia="仿宋" w:cs="仿宋_GB2312"/>
          <w:kern w:val="0"/>
          <w:sz w:val="28"/>
          <w:szCs w:val="28"/>
        </w:rPr>
        <w:t>学校相关工作机构申诉</w:t>
      </w:r>
      <w:r>
        <w:rPr>
          <w:rFonts w:hint="eastAsia" w:ascii="仿宋" w:hAnsi="仿宋" w:eastAsia="仿宋" w:cs="仿宋_GB2312"/>
          <w:color w:val="000000"/>
          <w:kern w:val="0"/>
          <w:sz w:val="28"/>
          <w:szCs w:val="28"/>
        </w:rPr>
        <w:t>。</w:t>
      </w:r>
    </w:p>
    <w:p>
      <w:pPr>
        <w:adjustRightInd w:val="0"/>
        <w:snapToGrid w:val="0"/>
        <w:spacing w:line="360" w:lineRule="auto"/>
        <w:ind w:firstLine="562" w:firstLineChars="200"/>
        <w:rPr>
          <w:rFonts w:ascii="仿宋" w:hAnsi="仿宋" w:eastAsia="仿宋" w:cs="黑体"/>
          <w:b/>
          <w:bCs/>
          <w:sz w:val="28"/>
          <w:szCs w:val="28"/>
        </w:rPr>
      </w:pPr>
      <w:r>
        <w:rPr>
          <w:rFonts w:hint="eastAsia" w:ascii="仿宋" w:hAnsi="仿宋" w:eastAsia="仿宋" w:cs="黑体"/>
          <w:b/>
          <w:bCs/>
          <w:sz w:val="28"/>
          <w:szCs w:val="28"/>
        </w:rPr>
        <w:t>五、本细则最终由华南农业大学园艺学院负责解释。</w:t>
      </w:r>
    </w:p>
    <w:p>
      <w:pPr>
        <w:adjustRightInd w:val="0"/>
        <w:snapToGrid w:val="0"/>
        <w:spacing w:line="300" w:lineRule="auto"/>
        <w:ind w:firstLine="480" w:firstLineChars="200"/>
        <w:rPr>
          <w:rFonts w:ascii="仿宋" w:hAnsi="仿宋" w:eastAsia="仿宋" w:cs="宋体"/>
          <w:sz w:val="24"/>
        </w:rPr>
      </w:pPr>
    </w:p>
    <w:p>
      <w:pPr>
        <w:adjustRightInd w:val="0"/>
        <w:snapToGrid w:val="0"/>
        <w:spacing w:line="300" w:lineRule="auto"/>
        <w:ind w:firstLine="480" w:firstLineChars="200"/>
        <w:rPr>
          <w:rFonts w:ascii="仿宋" w:hAnsi="仿宋" w:eastAsia="仿宋" w:cs="宋体"/>
          <w:sz w:val="24"/>
        </w:rPr>
      </w:pPr>
    </w:p>
    <w:p>
      <w:pPr>
        <w:widowControl/>
        <w:spacing w:line="360" w:lineRule="auto"/>
        <w:ind w:right="106" w:firstLine="560" w:firstLineChars="200"/>
        <w:jc w:val="right"/>
        <w:rPr>
          <w:rFonts w:ascii="仿宋" w:hAnsi="仿宋" w:eastAsia="仿宋" w:cs="宋体"/>
          <w:kern w:val="0"/>
          <w:sz w:val="28"/>
          <w:szCs w:val="28"/>
        </w:rPr>
      </w:pPr>
      <w:r>
        <w:rPr>
          <w:rFonts w:hint="eastAsia" w:ascii="仿宋" w:hAnsi="仿宋" w:eastAsia="仿宋" w:cs="宋体"/>
          <w:kern w:val="0"/>
          <w:sz w:val="28"/>
          <w:szCs w:val="28"/>
        </w:rPr>
        <w:t>华南农业大学园艺学院</w:t>
      </w:r>
    </w:p>
    <w:p>
      <w:pPr>
        <w:widowControl/>
        <w:wordWrap w:val="0"/>
        <w:spacing w:line="360" w:lineRule="auto"/>
        <w:ind w:right="106" w:firstLine="560" w:firstLineChars="200"/>
        <w:jc w:val="right"/>
        <w:rPr>
          <w:rFonts w:ascii="仿宋" w:hAnsi="仿宋" w:eastAsia="仿宋" w:cs="宋体"/>
          <w:b/>
          <w:bCs/>
          <w:kern w:val="0"/>
          <w:sz w:val="28"/>
          <w:szCs w:val="28"/>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8</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8</w:t>
      </w:r>
      <w:r>
        <w:rPr>
          <w:rFonts w:hint="eastAsia" w:ascii="仿宋" w:hAnsi="仿宋" w:eastAsia="仿宋" w:cs="宋体"/>
          <w:kern w:val="0"/>
          <w:sz w:val="28"/>
          <w:szCs w:val="28"/>
        </w:rPr>
        <w:t>日</w:t>
      </w:r>
    </w:p>
    <w:p>
      <w:pPr>
        <w:widowControl/>
        <w:spacing w:line="360" w:lineRule="auto"/>
        <w:ind w:right="106" w:firstLine="562" w:firstLineChars="200"/>
        <w:jc w:val="right"/>
        <w:rPr>
          <w:rFonts w:ascii="仿宋" w:hAnsi="仿宋" w:eastAsia="仿宋" w:cs="宋体"/>
          <w:b/>
          <w:bCs/>
          <w:kern w:val="0"/>
          <w:sz w:val="28"/>
          <w:szCs w:val="28"/>
        </w:rPr>
      </w:pPr>
    </w:p>
    <w:p>
      <w:pPr>
        <w:widowControl/>
        <w:spacing w:line="360" w:lineRule="auto"/>
        <w:ind w:right="106" w:firstLine="562" w:firstLineChars="200"/>
        <w:jc w:val="right"/>
        <w:rPr>
          <w:rFonts w:ascii="仿宋" w:hAnsi="仿宋" w:eastAsia="仿宋" w:cs="宋体"/>
          <w:b/>
          <w:bCs/>
          <w:kern w:val="0"/>
          <w:sz w:val="28"/>
          <w:szCs w:val="28"/>
        </w:rPr>
      </w:pPr>
    </w:p>
    <w:p>
      <w:pPr>
        <w:widowControl/>
        <w:spacing w:line="360" w:lineRule="auto"/>
        <w:ind w:right="106"/>
        <w:rPr>
          <w:rFonts w:ascii="仿宋" w:hAnsi="仿宋" w:eastAsia="仿宋" w:cs="宋体"/>
          <w:kern w:val="0"/>
          <w:sz w:val="24"/>
          <w:lang w:eastAsia="zh-Hans"/>
        </w:rPr>
      </w:pPr>
      <w:bookmarkStart w:id="0" w:name="_GoBack"/>
      <w:bookmarkEnd w:id="0"/>
    </w:p>
    <w:sectPr>
      <w:footerReference r:id="rId3" w:type="default"/>
      <w:pgSz w:w="11906" w:h="16838"/>
      <w:pgMar w:top="1440" w:right="1310" w:bottom="1440" w:left="131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3E744B-FCC4-447E-ABB1-A30CC1CE8B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embedRegular r:id="rId2" w:fontKey="{6AAE40C1-B991-4B81-AC70-E2FF4DE42C30}"/>
  </w:font>
  <w:font w:name="仿宋">
    <w:panose1 w:val="02010609060101010101"/>
    <w:charset w:val="86"/>
    <w:family w:val="modern"/>
    <w:pitch w:val="default"/>
    <w:sig w:usb0="800002BF" w:usb1="38CF7CFA" w:usb2="00000016" w:usb3="00000000" w:csb0="00040001" w:csb1="00000000"/>
    <w:embedRegular r:id="rId3" w:fontKey="{D3708256-2F2E-4029-B578-178F8FF8C601}"/>
  </w:font>
  <w:font w:name="仿宋_GB2312">
    <w:altName w:val="仿宋"/>
    <w:panose1 w:val="00000000000000000000"/>
    <w:charset w:val="86"/>
    <w:family w:val="modern"/>
    <w:pitch w:val="default"/>
    <w:sig w:usb0="00000000" w:usb1="00000000" w:usb2="00000000" w:usb3="00000000" w:csb0="00040000" w:csb1="00000000"/>
    <w:embedRegular r:id="rId4" w:fontKey="{BD44CB4F-81AE-4560-8FFA-FDA76051D8AC}"/>
  </w:font>
  <w:font w:name="FangSong_GB2312">
    <w:altName w:val="仿宋"/>
    <w:panose1 w:val="02010609060101010101"/>
    <w:charset w:val="86"/>
    <w:family w:val="modern"/>
    <w:pitch w:val="default"/>
    <w:sig w:usb0="00000000" w:usb1="00000000" w:usb2="00000016" w:usb3="00000000" w:csb0="00040001" w:csb1="00000000"/>
    <w:embedRegular r:id="rId5" w:fontKey="{75C5A481-0A64-4B2C-87B4-46B73955A4D8}"/>
  </w:font>
  <w:font w:name="华文仿宋">
    <w:panose1 w:val="02010600040101010101"/>
    <w:charset w:val="86"/>
    <w:family w:val="auto"/>
    <w:pitch w:val="default"/>
    <w:sig w:usb0="00000287" w:usb1="080F0000" w:usb2="00000000" w:usb3="00000000" w:csb0="0004009F" w:csb1="DFD70000"/>
    <w:embedRegular r:id="rId6" w:fontKey="{37AE68FF-714D-4564-B6D4-82F69C34BEC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CtF9nfHAQAAigMAAA4AAAAAAAAAAQAgAAAAHwEAAGRycy9lMm9Eb2Mu&#10;eG1sUEsFBgAAAAAGAAYAWQEAAFg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56E76"/>
    <w:multiLevelType w:val="singleLevel"/>
    <w:tmpl w:val="EC656E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GFlOTg3ZTRkNTc4ZDQ3NjZjYWI3OTA2ZDdhZWMifQ=="/>
  </w:docVars>
  <w:rsids>
    <w:rsidRoot w:val="00543677"/>
    <w:rsid w:val="000246F2"/>
    <w:rsid w:val="000308BE"/>
    <w:rsid w:val="00067C74"/>
    <w:rsid w:val="000701F2"/>
    <w:rsid w:val="00073A7C"/>
    <w:rsid w:val="000A6750"/>
    <w:rsid w:val="000C3139"/>
    <w:rsid w:val="001541A4"/>
    <w:rsid w:val="00160651"/>
    <w:rsid w:val="00166AD8"/>
    <w:rsid w:val="00181103"/>
    <w:rsid w:val="00205B56"/>
    <w:rsid w:val="00260A48"/>
    <w:rsid w:val="00287DF1"/>
    <w:rsid w:val="002914F0"/>
    <w:rsid w:val="002B016A"/>
    <w:rsid w:val="002D13E5"/>
    <w:rsid w:val="002D3BF2"/>
    <w:rsid w:val="002E48C4"/>
    <w:rsid w:val="00304C54"/>
    <w:rsid w:val="00305FA2"/>
    <w:rsid w:val="00306FCA"/>
    <w:rsid w:val="0031464F"/>
    <w:rsid w:val="00330DB3"/>
    <w:rsid w:val="00372F91"/>
    <w:rsid w:val="003C42FE"/>
    <w:rsid w:val="003F082C"/>
    <w:rsid w:val="00430F11"/>
    <w:rsid w:val="00445187"/>
    <w:rsid w:val="00466B22"/>
    <w:rsid w:val="00476E9D"/>
    <w:rsid w:val="00485F02"/>
    <w:rsid w:val="004B15B7"/>
    <w:rsid w:val="004B3317"/>
    <w:rsid w:val="004B5457"/>
    <w:rsid w:val="005051B7"/>
    <w:rsid w:val="0051735D"/>
    <w:rsid w:val="00520C64"/>
    <w:rsid w:val="00522009"/>
    <w:rsid w:val="005221C7"/>
    <w:rsid w:val="00540E35"/>
    <w:rsid w:val="00543677"/>
    <w:rsid w:val="00550963"/>
    <w:rsid w:val="00554F73"/>
    <w:rsid w:val="00555190"/>
    <w:rsid w:val="0057498F"/>
    <w:rsid w:val="005A2D31"/>
    <w:rsid w:val="005A4149"/>
    <w:rsid w:val="005B1FD9"/>
    <w:rsid w:val="005C0874"/>
    <w:rsid w:val="005C454A"/>
    <w:rsid w:val="005E4A1F"/>
    <w:rsid w:val="00611DB2"/>
    <w:rsid w:val="00641AA8"/>
    <w:rsid w:val="00663E23"/>
    <w:rsid w:val="00675B51"/>
    <w:rsid w:val="00691502"/>
    <w:rsid w:val="006D4DBC"/>
    <w:rsid w:val="006D787E"/>
    <w:rsid w:val="006E61F8"/>
    <w:rsid w:val="00713425"/>
    <w:rsid w:val="007147A3"/>
    <w:rsid w:val="007217CC"/>
    <w:rsid w:val="00725931"/>
    <w:rsid w:val="007342FA"/>
    <w:rsid w:val="00740C89"/>
    <w:rsid w:val="00771E62"/>
    <w:rsid w:val="007813A3"/>
    <w:rsid w:val="0079180A"/>
    <w:rsid w:val="00794747"/>
    <w:rsid w:val="007D3F28"/>
    <w:rsid w:val="0080075F"/>
    <w:rsid w:val="00822F7C"/>
    <w:rsid w:val="00843030"/>
    <w:rsid w:val="00861ED8"/>
    <w:rsid w:val="00897A2D"/>
    <w:rsid w:val="008C3D78"/>
    <w:rsid w:val="008F6B84"/>
    <w:rsid w:val="009441CD"/>
    <w:rsid w:val="0095086C"/>
    <w:rsid w:val="00973132"/>
    <w:rsid w:val="00973FE4"/>
    <w:rsid w:val="009943EE"/>
    <w:rsid w:val="009C03A7"/>
    <w:rsid w:val="009E2CD0"/>
    <w:rsid w:val="00A158A9"/>
    <w:rsid w:val="00A22595"/>
    <w:rsid w:val="00A42D76"/>
    <w:rsid w:val="00A550C0"/>
    <w:rsid w:val="00A67A74"/>
    <w:rsid w:val="00A76C23"/>
    <w:rsid w:val="00AF24E4"/>
    <w:rsid w:val="00AF73C3"/>
    <w:rsid w:val="00B02FD0"/>
    <w:rsid w:val="00B2080B"/>
    <w:rsid w:val="00B37804"/>
    <w:rsid w:val="00B423E3"/>
    <w:rsid w:val="00B454AB"/>
    <w:rsid w:val="00B62108"/>
    <w:rsid w:val="00B97F18"/>
    <w:rsid w:val="00BA1624"/>
    <w:rsid w:val="00BA21F0"/>
    <w:rsid w:val="00BD1397"/>
    <w:rsid w:val="00BD7190"/>
    <w:rsid w:val="00BF6AEE"/>
    <w:rsid w:val="00C04F10"/>
    <w:rsid w:val="00C15304"/>
    <w:rsid w:val="00C200F7"/>
    <w:rsid w:val="00C35333"/>
    <w:rsid w:val="00C368C3"/>
    <w:rsid w:val="00C468E8"/>
    <w:rsid w:val="00C47A5F"/>
    <w:rsid w:val="00C70770"/>
    <w:rsid w:val="00C76BA3"/>
    <w:rsid w:val="00C82AD9"/>
    <w:rsid w:val="00CD643C"/>
    <w:rsid w:val="00D0578A"/>
    <w:rsid w:val="00D23A8B"/>
    <w:rsid w:val="00D3121C"/>
    <w:rsid w:val="00D322F0"/>
    <w:rsid w:val="00D52E4D"/>
    <w:rsid w:val="00DA53A6"/>
    <w:rsid w:val="00DC3687"/>
    <w:rsid w:val="00DD0F5E"/>
    <w:rsid w:val="00E021B3"/>
    <w:rsid w:val="00E21DBF"/>
    <w:rsid w:val="00E23AB5"/>
    <w:rsid w:val="00E510A0"/>
    <w:rsid w:val="00EE3663"/>
    <w:rsid w:val="00EE71D4"/>
    <w:rsid w:val="00F33446"/>
    <w:rsid w:val="00F45688"/>
    <w:rsid w:val="00F64290"/>
    <w:rsid w:val="00F66603"/>
    <w:rsid w:val="00F959D0"/>
    <w:rsid w:val="00F95CE0"/>
    <w:rsid w:val="01882EC5"/>
    <w:rsid w:val="019D5DA8"/>
    <w:rsid w:val="0207701F"/>
    <w:rsid w:val="02E97609"/>
    <w:rsid w:val="03845C1A"/>
    <w:rsid w:val="053D2BC9"/>
    <w:rsid w:val="05C95938"/>
    <w:rsid w:val="06461756"/>
    <w:rsid w:val="06933AC6"/>
    <w:rsid w:val="097B6879"/>
    <w:rsid w:val="0A164A7F"/>
    <w:rsid w:val="0A9F4528"/>
    <w:rsid w:val="0C41787E"/>
    <w:rsid w:val="0D520617"/>
    <w:rsid w:val="0EC9590B"/>
    <w:rsid w:val="129A4011"/>
    <w:rsid w:val="12FE3A23"/>
    <w:rsid w:val="139B6E67"/>
    <w:rsid w:val="153B23A4"/>
    <w:rsid w:val="154D13BE"/>
    <w:rsid w:val="15902CD2"/>
    <w:rsid w:val="16264FF2"/>
    <w:rsid w:val="16B32BA7"/>
    <w:rsid w:val="1C9F1DD3"/>
    <w:rsid w:val="1DBC3105"/>
    <w:rsid w:val="1DDA1164"/>
    <w:rsid w:val="1DFB0461"/>
    <w:rsid w:val="20450F90"/>
    <w:rsid w:val="20E30128"/>
    <w:rsid w:val="24BF0F50"/>
    <w:rsid w:val="29795DA5"/>
    <w:rsid w:val="2AE53A7A"/>
    <w:rsid w:val="2B4C1378"/>
    <w:rsid w:val="2C6C3E8B"/>
    <w:rsid w:val="2E1819E5"/>
    <w:rsid w:val="2F085DC6"/>
    <w:rsid w:val="2FAF3B12"/>
    <w:rsid w:val="337A0A4C"/>
    <w:rsid w:val="33C11010"/>
    <w:rsid w:val="34413913"/>
    <w:rsid w:val="362D29DF"/>
    <w:rsid w:val="3764495F"/>
    <w:rsid w:val="37DF7D84"/>
    <w:rsid w:val="381B348F"/>
    <w:rsid w:val="39EF5111"/>
    <w:rsid w:val="3A7507B5"/>
    <w:rsid w:val="3BA42D72"/>
    <w:rsid w:val="3E440200"/>
    <w:rsid w:val="3F4A1D04"/>
    <w:rsid w:val="3F7E76E3"/>
    <w:rsid w:val="415E49CF"/>
    <w:rsid w:val="427A5D81"/>
    <w:rsid w:val="434D186C"/>
    <w:rsid w:val="44C54C4D"/>
    <w:rsid w:val="47BA5463"/>
    <w:rsid w:val="47C80099"/>
    <w:rsid w:val="488E0DCA"/>
    <w:rsid w:val="494E7991"/>
    <w:rsid w:val="4AC31D2E"/>
    <w:rsid w:val="4B311E65"/>
    <w:rsid w:val="4BB954CD"/>
    <w:rsid w:val="4FD86DCF"/>
    <w:rsid w:val="50182051"/>
    <w:rsid w:val="506D2FDF"/>
    <w:rsid w:val="575852B9"/>
    <w:rsid w:val="57E2477D"/>
    <w:rsid w:val="58F3105D"/>
    <w:rsid w:val="5D7730C0"/>
    <w:rsid w:val="5DD31C78"/>
    <w:rsid w:val="5E381DE4"/>
    <w:rsid w:val="60121E89"/>
    <w:rsid w:val="627C5AE4"/>
    <w:rsid w:val="63AE625C"/>
    <w:rsid w:val="6402116F"/>
    <w:rsid w:val="64D15E6F"/>
    <w:rsid w:val="662D3140"/>
    <w:rsid w:val="66A95C7E"/>
    <w:rsid w:val="69300D86"/>
    <w:rsid w:val="69A35C27"/>
    <w:rsid w:val="69F4748F"/>
    <w:rsid w:val="6A7F4019"/>
    <w:rsid w:val="6AA05804"/>
    <w:rsid w:val="6B456426"/>
    <w:rsid w:val="6DB45381"/>
    <w:rsid w:val="6EE61664"/>
    <w:rsid w:val="6FF96332"/>
    <w:rsid w:val="70064E0C"/>
    <w:rsid w:val="72200CCC"/>
    <w:rsid w:val="73A3113F"/>
    <w:rsid w:val="73E932A8"/>
    <w:rsid w:val="74977634"/>
    <w:rsid w:val="78C4713A"/>
    <w:rsid w:val="78FA00BD"/>
    <w:rsid w:val="797A0DF8"/>
    <w:rsid w:val="7ABA11CD"/>
    <w:rsid w:val="7AE5214B"/>
    <w:rsid w:val="7B7B2C0D"/>
    <w:rsid w:val="7CCF919F"/>
    <w:rsid w:val="7DD33C18"/>
    <w:rsid w:val="7FE6D0CF"/>
    <w:rsid w:val="BEF775C4"/>
    <w:rsid w:val="D8FBA304"/>
    <w:rsid w:val="DFEAC4F4"/>
    <w:rsid w:val="EBFFDF6B"/>
    <w:rsid w:val="F3EF0766"/>
    <w:rsid w:val="FA7E23A2"/>
    <w:rsid w:val="FFB185F8"/>
    <w:rsid w:val="FFED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b/>
      <w:bCs/>
      <w:kern w:val="36"/>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szCs w:val="22"/>
    </w:rPr>
  </w:style>
  <w:style w:type="paragraph" w:styleId="4">
    <w:name w:val="Date"/>
    <w:basedOn w:val="1"/>
    <w:next w:val="1"/>
    <w:link w:val="19"/>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szCs w:val="22"/>
    </w:rPr>
  </w:style>
  <w:style w:type="paragraph" w:styleId="9">
    <w:name w:val="annotation subject"/>
    <w:basedOn w:val="3"/>
    <w:next w:val="3"/>
    <w:link w:val="24"/>
    <w:qFormat/>
    <w:uiPriority w:val="0"/>
    <w:rPr>
      <w:b/>
      <w:bCs/>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FollowedHyperlink"/>
    <w:qFormat/>
    <w:uiPriority w:val="0"/>
    <w:rPr>
      <w:color w:val="954F72"/>
      <w:u w:val="single"/>
    </w:rPr>
  </w:style>
  <w:style w:type="character" w:styleId="15">
    <w:name w:val="Emphasis"/>
    <w:qFormat/>
    <w:uiPriority w:val="20"/>
    <w:rPr>
      <w:i/>
      <w:iCs/>
    </w:rPr>
  </w:style>
  <w:style w:type="character" w:styleId="16">
    <w:name w:val="Hyperlink"/>
    <w:qFormat/>
    <w:uiPriority w:val="0"/>
    <w:rPr>
      <w:color w:val="0000FF"/>
      <w:u w:val="single"/>
    </w:rPr>
  </w:style>
  <w:style w:type="character" w:styleId="17">
    <w:name w:val="annotation reference"/>
    <w:basedOn w:val="12"/>
    <w:qFormat/>
    <w:uiPriority w:val="0"/>
    <w:rPr>
      <w:sz w:val="21"/>
      <w:szCs w:val="21"/>
    </w:rPr>
  </w:style>
  <w:style w:type="character" w:customStyle="1" w:styleId="18">
    <w:name w:val="批注框文本 字符"/>
    <w:link w:val="5"/>
    <w:qFormat/>
    <w:uiPriority w:val="0"/>
    <w:rPr>
      <w:kern w:val="2"/>
      <w:sz w:val="18"/>
      <w:szCs w:val="18"/>
    </w:rPr>
  </w:style>
  <w:style w:type="character" w:customStyle="1" w:styleId="19">
    <w:name w:val="日期 字符"/>
    <w:link w:val="4"/>
    <w:qFormat/>
    <w:uiPriority w:val="0"/>
    <w:rPr>
      <w:kern w:val="2"/>
      <w:sz w:val="21"/>
      <w:szCs w:val="24"/>
    </w:rPr>
  </w:style>
  <w:style w:type="character" w:customStyle="1" w:styleId="20">
    <w:name w:val="标题 1 字符"/>
    <w:link w:val="2"/>
    <w:qFormat/>
    <w:uiPriority w:val="9"/>
    <w:rPr>
      <w:rFonts w:ascii="Times New Roman" w:hAnsi="Times New Roman"/>
      <w:b/>
      <w:bCs/>
      <w:kern w:val="36"/>
      <w:sz w:val="48"/>
      <w:szCs w:val="48"/>
    </w:rPr>
  </w:style>
  <w:style w:type="character" w:customStyle="1" w:styleId="21">
    <w:name w:val="页脚 字符"/>
    <w:link w:val="6"/>
    <w:qFormat/>
    <w:uiPriority w:val="0"/>
    <w:rPr>
      <w:kern w:val="2"/>
      <w:sz w:val="18"/>
      <w:szCs w:val="18"/>
    </w:rPr>
  </w:style>
  <w:style w:type="character" w:customStyle="1" w:styleId="22">
    <w:name w:val="页眉 字符"/>
    <w:link w:val="7"/>
    <w:qFormat/>
    <w:uiPriority w:val="0"/>
    <w:rPr>
      <w:kern w:val="2"/>
      <w:sz w:val="18"/>
      <w:szCs w:val="18"/>
    </w:rPr>
  </w:style>
  <w:style w:type="character" w:customStyle="1" w:styleId="23">
    <w:name w:val="批注文字 字符"/>
    <w:link w:val="3"/>
    <w:qFormat/>
    <w:uiPriority w:val="0"/>
    <w:rPr>
      <w:kern w:val="2"/>
      <w:sz w:val="21"/>
      <w:szCs w:val="22"/>
    </w:rPr>
  </w:style>
  <w:style w:type="character" w:customStyle="1" w:styleId="24">
    <w:name w:val="批注主题 字符"/>
    <w:basedOn w:val="23"/>
    <w:link w:val="9"/>
    <w:qFormat/>
    <w:uiPriority w:val="0"/>
    <w:rPr>
      <w:b/>
      <w:bCs/>
      <w:kern w:val="2"/>
      <w:sz w:val="21"/>
      <w:szCs w:val="24"/>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font31"/>
    <w:basedOn w:val="12"/>
    <w:uiPriority w:val="0"/>
    <w:rPr>
      <w:rFonts w:hint="default" w:ascii="Times New Roman" w:hAnsi="Times New Roman" w:cs="Times New Roman"/>
      <w:color w:val="000000"/>
      <w:sz w:val="20"/>
      <w:szCs w:val="20"/>
      <w:u w:val="none"/>
    </w:rPr>
  </w:style>
  <w:style w:type="character" w:customStyle="1" w:styleId="27">
    <w:name w:val="font61"/>
    <w:basedOn w:val="12"/>
    <w:qFormat/>
    <w:uiPriority w:val="0"/>
    <w:rPr>
      <w:rFonts w:hint="eastAsia" w:ascii="宋体" w:hAnsi="宋体" w:eastAsia="宋体" w:cs="宋体"/>
      <w:color w:val="000000"/>
      <w:sz w:val="20"/>
      <w:szCs w:val="20"/>
      <w:u w:val="none"/>
    </w:rPr>
  </w:style>
  <w:style w:type="character" w:customStyle="1" w:styleId="28">
    <w:name w:val="font51"/>
    <w:basedOn w:val="12"/>
    <w:uiPriority w:val="0"/>
    <w:rPr>
      <w:rFonts w:hint="eastAsia" w:ascii="宋体" w:hAnsi="宋体" w:eastAsia="宋体" w:cs="宋体"/>
      <w:color w:val="000000"/>
      <w:sz w:val="20"/>
      <w:szCs w:val="20"/>
      <w:u w:val="none"/>
    </w:rPr>
  </w:style>
  <w:style w:type="character" w:customStyle="1" w:styleId="29">
    <w:name w:val="font7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4440</Words>
  <Characters>4642</Characters>
  <Lines>28</Lines>
  <Paragraphs>8</Paragraphs>
  <TotalTime>37</TotalTime>
  <ScaleCrop>false</ScaleCrop>
  <LinksUpToDate>false</LinksUpToDate>
  <CharactersWithSpaces>4653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2020-06-18T10:20:00Z</dcterms:created>
  <dc:creator>园艺学院</dc:creator>
  <cp:lastModifiedBy>刘合永</cp:lastModifiedBy>
  <cp:lastPrinted>2020-07-09T15:16:00Z</cp:lastPrinted>
  <dcterms:modified xsi:type="dcterms:W3CDTF">2023-08-09T13:45:18Z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D429A3F63C4D4D7D9C6E7553DC7C6E35_13</vt:lpwstr>
  </property>
</Properties>
</file>